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738DE" w14:textId="35AA405D" w:rsidR="00D42FC1" w:rsidRPr="00A05AF6" w:rsidRDefault="00D42FC1" w:rsidP="00D42FC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A05AF6">
        <w:rPr>
          <w:rFonts w:cs="Arial"/>
          <w:sz w:val="24"/>
          <w:szCs w:val="24"/>
        </w:rPr>
        <w:t>3GPP TSG-RAN WG4 Meeting #</w:t>
      </w:r>
      <w:r w:rsidRPr="00A05AF6">
        <w:rPr>
          <w:rFonts w:cs="Arial"/>
        </w:rPr>
        <w:t xml:space="preserve"> </w:t>
      </w:r>
      <w:r w:rsidRPr="00A05AF6">
        <w:rPr>
          <w:rFonts w:cs="Arial"/>
          <w:sz w:val="24"/>
          <w:szCs w:val="24"/>
        </w:rPr>
        <w:t>105</w:t>
      </w:r>
      <w:r w:rsidRPr="00A05AF6">
        <w:rPr>
          <w:rFonts w:cs="Arial"/>
          <w:sz w:val="24"/>
          <w:szCs w:val="24"/>
        </w:rPr>
        <w:tab/>
      </w:r>
      <w:r w:rsidR="00A05AF6" w:rsidRPr="00A05AF6">
        <w:rPr>
          <w:rFonts w:cs="Arial"/>
          <w:sz w:val="24"/>
          <w:szCs w:val="24"/>
        </w:rPr>
        <w:t>R4-2218413</w:t>
      </w:r>
    </w:p>
    <w:p w14:paraId="6A4D5990" w14:textId="77777777" w:rsidR="00D42FC1" w:rsidRPr="00E13633" w:rsidRDefault="00D42FC1" w:rsidP="00D42FC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8D48AE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462BD0" w:rsidRPr="00462BD0">
        <w:rPr>
          <w:rFonts w:ascii="Arial" w:hAnsi="Arial" w:cs="Arial"/>
          <w:bCs/>
          <w:noProof/>
          <w:sz w:val="24"/>
          <w:szCs w:val="24"/>
          <w:lang w:val="en-US" w:eastAsia="en-US"/>
        </w:rPr>
        <w:t>RRM requirements of IoT NTN</w:t>
      </w:r>
    </w:p>
    <w:p w14:paraId="005D0233" w14:textId="7360F309" w:rsidR="004E2381" w:rsidRPr="00CF6EC9" w:rsidRDefault="004E2381" w:rsidP="004E2381">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462BD0" w:rsidRPr="00462BD0">
        <w:rPr>
          <w:rFonts w:ascii="Arial" w:hAnsi="Arial" w:cs="Arial"/>
          <w:bCs/>
          <w:noProof/>
          <w:sz w:val="24"/>
          <w:szCs w:val="24"/>
          <w:lang w:val="en-US" w:eastAsia="en-US"/>
        </w:rPr>
        <w:t>9.5.6</w:t>
      </w:r>
    </w:p>
    <w:p w14:paraId="3E32F55B" w14:textId="37657B0F"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FC1A3A">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4BF50E0C" w14:textId="29A486C4" w:rsidR="00CB162A" w:rsidRDefault="004C29B9" w:rsidP="00CB162A">
      <w:pPr>
        <w:jc w:val="both"/>
        <w:rPr>
          <w:lang w:val="en-US" w:eastAsia="en-US"/>
        </w:rPr>
      </w:pPr>
      <w:r w:rsidRPr="00D50DD1">
        <w:rPr>
          <w:lang w:eastAsia="en-US"/>
        </w:rPr>
        <w:t xml:space="preserve">We present our views </w:t>
      </w:r>
      <w:r>
        <w:rPr>
          <w:lang w:eastAsia="en-US"/>
        </w:rPr>
        <w:t xml:space="preserve">on the following </w:t>
      </w:r>
      <w:r w:rsidR="00CB162A">
        <w:rPr>
          <w:lang w:eastAsia="en-US"/>
        </w:rPr>
        <w:t xml:space="preserve">four </w:t>
      </w:r>
      <w:r>
        <w:rPr>
          <w:lang w:eastAsia="en-US"/>
        </w:rPr>
        <w:t>issues.</w:t>
      </w:r>
    </w:p>
    <w:p w14:paraId="17055518" w14:textId="77777777" w:rsidR="00CB162A" w:rsidRPr="00CB162A" w:rsidRDefault="00CB162A" w:rsidP="00CB162A">
      <w:pPr>
        <w:pStyle w:val="ListParagraph"/>
        <w:numPr>
          <w:ilvl w:val="0"/>
          <w:numId w:val="22"/>
        </w:numPr>
        <w:jc w:val="both"/>
        <w:rPr>
          <w:lang w:val="en-US" w:eastAsia="en-US"/>
        </w:rPr>
      </w:pPr>
      <w:r w:rsidRPr="00CB162A">
        <w:rPr>
          <w:lang w:val="en-US" w:eastAsia="en-US"/>
        </w:rPr>
        <w:t>Measurement Capability on the Number of NGSO Satellites</w:t>
      </w:r>
    </w:p>
    <w:p w14:paraId="3F1F1E2E" w14:textId="77777777" w:rsidR="00CB162A" w:rsidRPr="00CB162A" w:rsidRDefault="00CB162A" w:rsidP="00CB162A">
      <w:pPr>
        <w:pStyle w:val="ListParagraph"/>
        <w:numPr>
          <w:ilvl w:val="0"/>
          <w:numId w:val="22"/>
        </w:numPr>
        <w:jc w:val="both"/>
        <w:rPr>
          <w:lang w:val="en-US" w:eastAsia="en-US"/>
        </w:rPr>
      </w:pPr>
      <w:r w:rsidRPr="00CB162A">
        <w:rPr>
          <w:lang w:val="en-US" w:eastAsia="en-US"/>
        </w:rPr>
        <w:t>PUR, RSRP-based TA validation</w:t>
      </w:r>
    </w:p>
    <w:p w14:paraId="3FC192C5" w14:textId="77777777" w:rsidR="00CB162A" w:rsidRPr="00CB162A" w:rsidRDefault="00CB162A" w:rsidP="00CB162A">
      <w:pPr>
        <w:pStyle w:val="ListParagraph"/>
        <w:numPr>
          <w:ilvl w:val="0"/>
          <w:numId w:val="22"/>
        </w:numPr>
        <w:jc w:val="both"/>
        <w:rPr>
          <w:lang w:val="en-US" w:eastAsia="en-US"/>
        </w:rPr>
      </w:pPr>
      <w:r w:rsidRPr="00CB162A">
        <w:rPr>
          <w:lang w:val="en-US" w:eastAsia="en-US"/>
        </w:rPr>
        <w:t>PUR in NGSO, TA validation for NTN based on t-service</w:t>
      </w:r>
    </w:p>
    <w:p w14:paraId="1FD59D6A" w14:textId="77777777" w:rsidR="00CB162A" w:rsidRPr="00CB162A" w:rsidRDefault="00CB162A" w:rsidP="00CB162A">
      <w:pPr>
        <w:pStyle w:val="ListParagraph"/>
        <w:numPr>
          <w:ilvl w:val="0"/>
          <w:numId w:val="22"/>
        </w:numPr>
        <w:jc w:val="both"/>
        <w:rPr>
          <w:lang w:val="en-US" w:eastAsia="en-US"/>
        </w:rPr>
      </w:pPr>
      <w:r w:rsidRPr="00CB162A">
        <w:rPr>
          <w:lang w:val="en-US" w:eastAsia="en-US"/>
        </w:rPr>
        <w:t>Issue 2-9-3: PUR, Timing</w:t>
      </w:r>
    </w:p>
    <w:p w14:paraId="44DBE9FA" w14:textId="69CCB166" w:rsidR="00EF60CC" w:rsidRDefault="000A567D" w:rsidP="00EF60CC">
      <w:pPr>
        <w:pStyle w:val="Heading1"/>
      </w:pPr>
      <w:r w:rsidRPr="00A314FC">
        <w:t xml:space="preserve">2. </w:t>
      </w:r>
      <w:r w:rsidRPr="00A314FC">
        <w:tab/>
      </w:r>
      <w:r w:rsidR="002A1C01" w:rsidRPr="00A314FC">
        <w:t>Discussion</w:t>
      </w:r>
    </w:p>
    <w:p w14:paraId="4FF705EE" w14:textId="033E9FCC" w:rsidR="004C29B9" w:rsidRPr="004C29B9" w:rsidRDefault="000E69E4" w:rsidP="004C29B9">
      <w:pPr>
        <w:rPr>
          <w:b/>
          <w:bCs/>
          <w:u w:val="single"/>
          <w:lang w:val="en-US"/>
        </w:rPr>
      </w:pPr>
      <w:r>
        <w:rPr>
          <w:b/>
          <w:bCs/>
          <w:u w:val="single"/>
        </w:rPr>
        <w:t>M</w:t>
      </w:r>
      <w:r w:rsidRPr="000E69E4">
        <w:rPr>
          <w:b/>
          <w:bCs/>
          <w:u w:val="single"/>
        </w:rPr>
        <w:t xml:space="preserve">easurement </w:t>
      </w:r>
      <w:r w:rsidR="00533F9D">
        <w:rPr>
          <w:b/>
          <w:bCs/>
          <w:u w:val="single"/>
        </w:rPr>
        <w:t>C</w:t>
      </w:r>
      <w:r w:rsidRPr="000E69E4">
        <w:rPr>
          <w:b/>
          <w:bCs/>
          <w:u w:val="single"/>
        </w:rPr>
        <w:t xml:space="preserve">apability on </w:t>
      </w:r>
      <w:r w:rsidR="00533F9D">
        <w:rPr>
          <w:b/>
          <w:bCs/>
          <w:u w:val="single"/>
        </w:rPr>
        <w:t>the N</w:t>
      </w:r>
      <w:r w:rsidRPr="000E69E4">
        <w:rPr>
          <w:b/>
          <w:bCs/>
          <w:u w:val="single"/>
        </w:rPr>
        <w:t xml:space="preserve">umber of NGSO </w:t>
      </w:r>
      <w:r w:rsidR="00533F9D">
        <w:rPr>
          <w:b/>
          <w:bCs/>
          <w:u w:val="single"/>
        </w:rPr>
        <w:t>S</w:t>
      </w:r>
      <w:r w:rsidRPr="000E69E4">
        <w:rPr>
          <w:b/>
          <w:bCs/>
          <w:u w:val="single"/>
        </w:rPr>
        <w:t>atellites</w:t>
      </w:r>
    </w:p>
    <w:p w14:paraId="4C15EB64" w14:textId="107F1F96" w:rsidR="000E69E4" w:rsidRDefault="000E69E4" w:rsidP="00E04795">
      <w:pPr>
        <w:rPr>
          <w:lang w:val="en-US"/>
        </w:rPr>
      </w:pPr>
      <w:r w:rsidRPr="000E69E4">
        <w:rPr>
          <w:highlight w:val="green"/>
          <w:lang w:val="en-US"/>
        </w:rPr>
        <w:t>Agreement</w:t>
      </w:r>
      <w:r>
        <w:rPr>
          <w:lang w:val="en-US"/>
        </w:rPr>
        <w:t>: (from RAN4#104bis e-meeting)</w:t>
      </w:r>
    </w:p>
    <w:p w14:paraId="27959E7B" w14:textId="77777777" w:rsidR="000E69E4" w:rsidRPr="000E69E4" w:rsidRDefault="000E69E4" w:rsidP="000E69E4">
      <w:pPr>
        <w:numPr>
          <w:ilvl w:val="0"/>
          <w:numId w:val="24"/>
        </w:numPr>
        <w:adjustRightInd w:val="0"/>
        <w:rPr>
          <w:szCs w:val="24"/>
          <w:lang w:val="en-US" w:eastAsia="zh-CN"/>
        </w:rPr>
      </w:pPr>
      <w:r w:rsidRPr="000E69E4">
        <w:rPr>
          <w:rFonts w:eastAsia="Yu Mincho"/>
          <w:szCs w:val="24"/>
          <w:lang w:val="en-US" w:eastAsia="zh-CN"/>
        </w:rPr>
        <w:t>Introduce UE capabilities on number of NGSO satellites that UE can monitor in total in addition to the baseline requirements.</w:t>
      </w:r>
    </w:p>
    <w:p w14:paraId="31ED98DF" w14:textId="77777777" w:rsidR="000E69E4" w:rsidRPr="000E69E4" w:rsidRDefault="000E69E4" w:rsidP="000E69E4">
      <w:pPr>
        <w:numPr>
          <w:ilvl w:val="1"/>
          <w:numId w:val="24"/>
        </w:numPr>
        <w:adjustRightInd w:val="0"/>
        <w:rPr>
          <w:szCs w:val="24"/>
          <w:lang w:val="en-US" w:eastAsia="zh-CN"/>
        </w:rPr>
      </w:pPr>
      <w:r w:rsidRPr="000E69E4">
        <w:rPr>
          <w:rFonts w:eastAsia="Yu Mincho"/>
          <w:szCs w:val="24"/>
          <w:lang w:val="en-US" w:eastAsia="zh-CN"/>
        </w:rPr>
        <w:t>Minimum (baseline) requirements of UE monitoring multiple NGSO satellites per carrier in total should be discussed.</w:t>
      </w:r>
    </w:p>
    <w:p w14:paraId="030E61BB" w14:textId="77777777" w:rsidR="000E69E4" w:rsidRPr="000E69E4" w:rsidRDefault="000E69E4" w:rsidP="000E69E4">
      <w:pPr>
        <w:rPr>
          <w:bCs/>
          <w:lang w:val="en-US" w:eastAsia="zh-CN"/>
        </w:rPr>
      </w:pPr>
      <w:r w:rsidRPr="000E69E4">
        <w:rPr>
          <w:bCs/>
          <w:lang w:val="en-US" w:eastAsia="zh-CN"/>
        </w:rPr>
        <w:t xml:space="preserve">The following Tentative Agreement can be </w:t>
      </w:r>
      <w:r w:rsidRPr="000E69E4">
        <w:rPr>
          <w:bCs/>
          <w:highlight w:val="yellow"/>
          <w:lang w:val="en-US" w:eastAsia="zh-CN"/>
        </w:rPr>
        <w:t>FFS</w:t>
      </w:r>
      <w:r w:rsidRPr="000E69E4">
        <w:rPr>
          <w:bCs/>
          <w:lang w:val="en-US" w:eastAsia="zh-CN"/>
        </w:rPr>
        <w:t xml:space="preserve"> in next meeting </w:t>
      </w:r>
    </w:p>
    <w:p w14:paraId="59C7F7AF" w14:textId="77777777" w:rsidR="000E69E4" w:rsidRPr="000E69E4" w:rsidRDefault="000E69E4" w:rsidP="000E69E4">
      <w:pPr>
        <w:numPr>
          <w:ilvl w:val="0"/>
          <w:numId w:val="25"/>
        </w:numPr>
        <w:overflowPunct w:val="0"/>
        <w:autoSpaceDE w:val="0"/>
        <w:autoSpaceDN w:val="0"/>
        <w:adjustRightInd w:val="0"/>
        <w:spacing w:line="240" w:lineRule="exact"/>
        <w:textAlignment w:val="baseline"/>
        <w:rPr>
          <w:rFonts w:eastAsia="Batang"/>
          <w:szCs w:val="24"/>
          <w:lang w:val="en-US"/>
        </w:rPr>
      </w:pPr>
      <w:r w:rsidRPr="000E69E4">
        <w:rPr>
          <w:rFonts w:eastAsia="Batang"/>
          <w:szCs w:val="24"/>
          <w:lang w:val="en-US"/>
        </w:rPr>
        <w:t>For minimum (baseline) requirements</w:t>
      </w:r>
      <w:r w:rsidRPr="000E69E4">
        <w:rPr>
          <w:rFonts w:eastAsia="PMingLiU"/>
          <w:szCs w:val="24"/>
          <w:lang w:val="en-US" w:eastAsia="zh-CN"/>
        </w:rPr>
        <w:t xml:space="preserve"> for NB in IDLE and M1 in both IDLE and CONNCTED</w:t>
      </w:r>
      <w:r w:rsidRPr="000E69E4">
        <w:rPr>
          <w:rFonts w:eastAsia="Batang"/>
          <w:szCs w:val="24"/>
          <w:lang w:val="en-US"/>
        </w:rPr>
        <w:t xml:space="preserve"> </w:t>
      </w:r>
      <w:r w:rsidRPr="000E69E4">
        <w:rPr>
          <w:rFonts w:eastAsia="Batang"/>
          <w:szCs w:val="24"/>
          <w:lang w:val="en-US"/>
        </w:rPr>
        <w:fldChar w:fldCharType="begin"/>
      </w:r>
      <w:r w:rsidRPr="000E69E4">
        <w:rPr>
          <w:rFonts w:eastAsia="Batang"/>
          <w:szCs w:val="24"/>
          <w:lang w:val="en-US"/>
        </w:rPr>
        <w:instrText xml:space="preserve"> REF _Ref115465944 \h  \* MERGEFORMAT </w:instrText>
      </w:r>
      <w:r w:rsidRPr="000E69E4">
        <w:rPr>
          <w:rFonts w:eastAsia="Batang"/>
          <w:szCs w:val="24"/>
          <w:lang w:val="en-US"/>
        </w:rPr>
      </w:r>
      <w:r w:rsidR="007E6D5D">
        <w:rPr>
          <w:rFonts w:eastAsia="Batang"/>
          <w:szCs w:val="24"/>
          <w:lang w:val="en-US"/>
        </w:rPr>
        <w:fldChar w:fldCharType="separate"/>
      </w:r>
      <w:r w:rsidRPr="000E69E4">
        <w:rPr>
          <w:rFonts w:eastAsia="Batang"/>
          <w:szCs w:val="24"/>
          <w:lang w:val="en-US"/>
        </w:rPr>
        <w:fldChar w:fldCharType="end"/>
      </w:r>
    </w:p>
    <w:p w14:paraId="6775C99E" w14:textId="77777777" w:rsidR="000E69E4" w:rsidRPr="000E69E4" w:rsidRDefault="000E69E4" w:rsidP="000E69E4">
      <w:pPr>
        <w:numPr>
          <w:ilvl w:val="1"/>
          <w:numId w:val="25"/>
        </w:numPr>
        <w:spacing w:before="120" w:after="120" w:line="240" w:lineRule="exact"/>
        <w:rPr>
          <w:rFonts w:eastAsia="PMingLiU"/>
          <w:lang w:val="x-none" w:eastAsia="x-none"/>
        </w:rPr>
      </w:pPr>
      <w:r w:rsidRPr="000E69E4">
        <w:rPr>
          <w:rFonts w:eastAsia="PMingLiU"/>
          <w:lang w:val="x-none" w:eastAsia="x-none"/>
        </w:rPr>
        <w:t>for intra-frequency carrier, the number of target satellites UE needs to monitor is [2] including serving LEO satellite.</w:t>
      </w:r>
    </w:p>
    <w:p w14:paraId="2CC4A976" w14:textId="77777777" w:rsidR="000E69E4" w:rsidRPr="000E69E4" w:rsidRDefault="000E69E4" w:rsidP="000E69E4">
      <w:pPr>
        <w:numPr>
          <w:ilvl w:val="1"/>
          <w:numId w:val="25"/>
        </w:numPr>
        <w:adjustRightInd w:val="0"/>
        <w:rPr>
          <w:szCs w:val="24"/>
          <w:lang w:val="en-US" w:eastAsia="zh-CN"/>
        </w:rPr>
      </w:pPr>
      <w:r w:rsidRPr="000E69E4">
        <w:rPr>
          <w:rFonts w:eastAsia="PMingLiU"/>
          <w:szCs w:val="24"/>
          <w:lang w:val="en-US" w:eastAsia="zh-CN"/>
        </w:rPr>
        <w:t xml:space="preserve">for inter-frequency carrier, the number of target satellites UE needs to monitor </w:t>
      </w:r>
      <w:r w:rsidRPr="000E69E4">
        <w:rPr>
          <w:rFonts w:eastAsia="PMingLiU"/>
          <w:szCs w:val="24"/>
          <w:u w:val="single"/>
          <w:lang w:val="en-US" w:eastAsia="zh-CN"/>
        </w:rPr>
        <w:t>per carrier</w:t>
      </w:r>
      <w:r w:rsidRPr="000E69E4">
        <w:rPr>
          <w:rFonts w:eastAsia="PMingLiU"/>
          <w:szCs w:val="24"/>
          <w:lang w:val="en-US" w:eastAsia="zh-CN"/>
        </w:rPr>
        <w:t xml:space="preserve"> is [2] </w:t>
      </w:r>
      <w:r w:rsidRPr="000E69E4">
        <w:rPr>
          <w:rFonts w:eastAsia="PMingLiU"/>
          <w:szCs w:val="24"/>
          <w:u w:val="single"/>
          <w:lang w:val="en-US" w:eastAsia="zh-CN"/>
        </w:rPr>
        <w:t>if one of the target satellites include the UE serving satellite; the number of target satellites UE needs to monitor is [1] otherwise</w:t>
      </w:r>
    </w:p>
    <w:p w14:paraId="574C5CEC" w14:textId="77777777" w:rsidR="000E69E4" w:rsidRDefault="000E69E4" w:rsidP="00E04795">
      <w:pPr>
        <w:rPr>
          <w:lang w:val="en-US"/>
        </w:rPr>
      </w:pPr>
    </w:p>
    <w:p w14:paraId="5F7510A4" w14:textId="58E6F6A7" w:rsidR="004A3765" w:rsidRDefault="000C6B12" w:rsidP="00E04795">
      <w:pPr>
        <w:rPr>
          <w:lang w:val="en-US"/>
        </w:rPr>
      </w:pPr>
      <w:r>
        <w:rPr>
          <w:lang w:val="en-US"/>
        </w:rPr>
        <w:t>According to the existing spec and the minimum, baseline requirements, NB/M1 UE can be forced to keep track of more than 4 NGSO satellites which may be an overkill to a low cost LPWA device.</w:t>
      </w:r>
    </w:p>
    <w:p w14:paraId="1C064D63" w14:textId="77777777" w:rsidR="0086292E" w:rsidRDefault="0086292E" w:rsidP="00E04795">
      <w:pPr>
        <w:rPr>
          <w:lang w:val="en-US"/>
        </w:rPr>
      </w:pPr>
    </w:p>
    <w:p w14:paraId="70A0D476" w14:textId="583990EA" w:rsidR="006D35B7" w:rsidRDefault="006D35B7" w:rsidP="006D35B7">
      <w:pPr>
        <w:jc w:val="both"/>
        <w:rPr>
          <w:b/>
          <w:bCs/>
          <w:lang w:val="en-US" w:eastAsia="en-US"/>
        </w:rPr>
      </w:pPr>
      <w:r w:rsidRPr="00D61486">
        <w:rPr>
          <w:b/>
          <w:bCs/>
          <w:lang w:val="en-US" w:eastAsia="en-US"/>
        </w:rPr>
        <w:t>Proposal</w:t>
      </w:r>
      <w:r>
        <w:rPr>
          <w:b/>
          <w:bCs/>
          <w:lang w:val="en-US" w:eastAsia="en-US"/>
        </w:rPr>
        <w:t xml:space="preserve"> </w:t>
      </w:r>
      <w:r w:rsidR="00092CC8">
        <w:rPr>
          <w:b/>
          <w:bCs/>
          <w:lang w:val="en-US" w:eastAsia="en-US"/>
        </w:rPr>
        <w:t>1</w:t>
      </w:r>
      <w:r w:rsidRPr="00D61486">
        <w:rPr>
          <w:b/>
          <w:bCs/>
          <w:lang w:val="en-US" w:eastAsia="en-US"/>
        </w:rPr>
        <w:t xml:space="preserve">: </w:t>
      </w:r>
      <w:r w:rsidR="00075492">
        <w:rPr>
          <w:b/>
          <w:bCs/>
          <w:lang w:val="en-US" w:eastAsia="en-US"/>
        </w:rPr>
        <w:t>For NB and M1 UEs supporting NGSO, t</w:t>
      </w:r>
      <w:r w:rsidR="000C6B12">
        <w:rPr>
          <w:b/>
          <w:bCs/>
          <w:lang w:val="en-US" w:eastAsia="en-US"/>
        </w:rPr>
        <w:t xml:space="preserve">he minimum </w:t>
      </w:r>
      <w:r w:rsidR="001E6319">
        <w:rPr>
          <w:b/>
          <w:bCs/>
          <w:lang w:val="en-US" w:eastAsia="en-US"/>
        </w:rPr>
        <w:t xml:space="preserve">capability </w:t>
      </w:r>
      <w:r w:rsidR="000C6B12">
        <w:rPr>
          <w:b/>
          <w:bCs/>
          <w:lang w:val="en-US" w:eastAsia="en-US"/>
        </w:rPr>
        <w:t xml:space="preserve">of the total number of NGSO satellites that IoT UE shall be able to monitor in total should not be larger than 2. </w:t>
      </w:r>
      <w:proofErr w:type="gramStart"/>
      <w:r w:rsidR="000C6B12">
        <w:rPr>
          <w:b/>
          <w:bCs/>
          <w:lang w:val="en-US" w:eastAsia="en-US"/>
        </w:rPr>
        <w:t>i.e.</w:t>
      </w:r>
      <w:proofErr w:type="gramEnd"/>
      <w:r w:rsidR="000C6B12">
        <w:rPr>
          <w:b/>
          <w:bCs/>
          <w:lang w:val="en-US" w:eastAsia="en-US"/>
        </w:rPr>
        <w:t xml:space="preserve"> when a UE is required to monitor cells belong to different satellites over multiple frequency layers, the minimum of the </w:t>
      </w:r>
      <w:r w:rsidR="003113E7">
        <w:rPr>
          <w:b/>
          <w:bCs/>
          <w:lang w:val="en-US" w:eastAsia="en-US"/>
        </w:rPr>
        <w:t xml:space="preserve">UE capability on the </w:t>
      </w:r>
      <w:r w:rsidR="000C6B12">
        <w:rPr>
          <w:b/>
          <w:bCs/>
          <w:lang w:val="en-US" w:eastAsia="en-US"/>
        </w:rPr>
        <w:t>total number of the satellites across the layers shall not be larger than 2.</w:t>
      </w:r>
    </w:p>
    <w:p w14:paraId="6C29EA96" w14:textId="1F197B6C" w:rsidR="009E2BFD" w:rsidRDefault="009E2BFD" w:rsidP="00E04795">
      <w:pPr>
        <w:rPr>
          <w:lang w:val="en-US"/>
        </w:rPr>
      </w:pPr>
    </w:p>
    <w:p w14:paraId="4031F3D0" w14:textId="77777777" w:rsidR="00F256E5" w:rsidRPr="00F256E5" w:rsidRDefault="00F256E5" w:rsidP="00F256E5">
      <w:pPr>
        <w:rPr>
          <w:b/>
          <w:bCs/>
          <w:u w:val="single"/>
        </w:rPr>
      </w:pPr>
      <w:r w:rsidRPr="00F256E5">
        <w:rPr>
          <w:b/>
          <w:bCs/>
          <w:u w:val="single"/>
        </w:rPr>
        <w:t>PUR, RSRP-based TA validation</w:t>
      </w:r>
    </w:p>
    <w:p w14:paraId="4459CD08" w14:textId="77777777" w:rsidR="00F256E5" w:rsidRDefault="00F256E5" w:rsidP="00F256E5">
      <w:pPr>
        <w:rPr>
          <w:lang w:val="en-US"/>
        </w:rPr>
      </w:pPr>
      <w:r w:rsidRPr="000E69E4">
        <w:rPr>
          <w:highlight w:val="green"/>
          <w:lang w:val="en-US"/>
        </w:rPr>
        <w:t>Agreement</w:t>
      </w:r>
      <w:r>
        <w:rPr>
          <w:lang w:val="en-US"/>
        </w:rPr>
        <w:t>: (from RAN4#104bis e-meeting)</w:t>
      </w:r>
    </w:p>
    <w:p w14:paraId="57634DC0" w14:textId="77777777" w:rsidR="00F256E5" w:rsidRPr="00F256E5" w:rsidRDefault="00F256E5" w:rsidP="00F256E5">
      <w:pPr>
        <w:numPr>
          <w:ilvl w:val="0"/>
          <w:numId w:val="25"/>
        </w:numPr>
        <w:overflowPunct w:val="0"/>
        <w:autoSpaceDE w:val="0"/>
        <w:autoSpaceDN w:val="0"/>
        <w:adjustRightInd w:val="0"/>
        <w:spacing w:line="240" w:lineRule="exact"/>
        <w:textAlignment w:val="baseline"/>
        <w:rPr>
          <w:rFonts w:eastAsia="Batang"/>
          <w:szCs w:val="24"/>
          <w:lang w:val="en-US"/>
        </w:rPr>
      </w:pPr>
      <w:r w:rsidRPr="00F256E5">
        <w:rPr>
          <w:rFonts w:eastAsia="Batang"/>
          <w:szCs w:val="24"/>
          <w:lang w:val="en-US"/>
        </w:rPr>
        <w:t xml:space="preserve">Option 1: The legacy RSRP-based TA validation is not applicable for PUR in IoT NTN. </w:t>
      </w:r>
    </w:p>
    <w:p w14:paraId="17AA9AC4" w14:textId="77777777" w:rsidR="00F256E5" w:rsidRPr="00F256E5" w:rsidRDefault="00F256E5" w:rsidP="00F256E5">
      <w:pPr>
        <w:numPr>
          <w:ilvl w:val="0"/>
          <w:numId w:val="25"/>
        </w:numPr>
        <w:overflowPunct w:val="0"/>
        <w:autoSpaceDE w:val="0"/>
        <w:autoSpaceDN w:val="0"/>
        <w:adjustRightInd w:val="0"/>
        <w:spacing w:line="240" w:lineRule="exact"/>
        <w:textAlignment w:val="baseline"/>
        <w:rPr>
          <w:rFonts w:eastAsia="Batang"/>
          <w:szCs w:val="24"/>
          <w:lang w:val="en-US"/>
        </w:rPr>
      </w:pPr>
      <w:r w:rsidRPr="00F256E5">
        <w:rPr>
          <w:rFonts w:eastAsia="Batang" w:hint="eastAsia"/>
          <w:szCs w:val="24"/>
          <w:lang w:val="en-US"/>
        </w:rPr>
        <w:lastRenderedPageBreak/>
        <w:t>O</w:t>
      </w:r>
      <w:r w:rsidRPr="00F256E5">
        <w:rPr>
          <w:rFonts w:eastAsia="Batang"/>
          <w:szCs w:val="24"/>
          <w:lang w:val="en-US"/>
        </w:rPr>
        <w:t xml:space="preserve">ption 2a: The legacy RSRP-based TA validation is applicable for PUR in IoT NTN, for both GEO and LEO. </w:t>
      </w:r>
    </w:p>
    <w:p w14:paraId="070006C8" w14:textId="77777777" w:rsidR="00F256E5" w:rsidRPr="00F256E5" w:rsidRDefault="00F256E5" w:rsidP="00F256E5">
      <w:pPr>
        <w:numPr>
          <w:ilvl w:val="0"/>
          <w:numId w:val="25"/>
        </w:numPr>
        <w:overflowPunct w:val="0"/>
        <w:autoSpaceDE w:val="0"/>
        <w:autoSpaceDN w:val="0"/>
        <w:adjustRightInd w:val="0"/>
        <w:spacing w:line="240" w:lineRule="exact"/>
        <w:textAlignment w:val="baseline"/>
        <w:rPr>
          <w:rFonts w:eastAsia="Batang"/>
          <w:szCs w:val="24"/>
          <w:lang w:val="en-US"/>
        </w:rPr>
      </w:pPr>
      <w:r w:rsidRPr="00F256E5">
        <w:rPr>
          <w:rFonts w:eastAsia="Batang" w:hint="eastAsia"/>
          <w:szCs w:val="24"/>
          <w:lang w:val="en-US"/>
        </w:rPr>
        <w:t>O</w:t>
      </w:r>
      <w:r w:rsidRPr="00F256E5">
        <w:rPr>
          <w:rFonts w:eastAsia="Batang"/>
          <w:szCs w:val="24"/>
          <w:lang w:val="en-US"/>
        </w:rPr>
        <w:t xml:space="preserve">ption 2b: The legacy RSRP-based TA validation is applicable for PUR in IoT NTN for GEO but not LEO. </w:t>
      </w:r>
    </w:p>
    <w:p w14:paraId="0837308B" w14:textId="4F2CC6E5" w:rsidR="00F256E5" w:rsidRDefault="00F256E5" w:rsidP="00E04795">
      <w:pPr>
        <w:rPr>
          <w:lang w:val="en-US"/>
        </w:rPr>
      </w:pPr>
    </w:p>
    <w:p w14:paraId="03D72D31" w14:textId="3C303B19" w:rsidR="003113E7" w:rsidRDefault="003113E7" w:rsidP="00E04795">
      <w:pPr>
        <w:rPr>
          <w:lang w:val="en-US"/>
        </w:rPr>
      </w:pPr>
      <w:r>
        <w:rPr>
          <w:lang w:val="en-US"/>
        </w:rPr>
        <w:t xml:space="preserve">Considering that a periodicity of PUR for IoT use case will be much larger than CG-SDT of NR NTN, UE is not likely to stay in the same beam footprint (same cell) over multiple PUR occasions. Note that upon </w:t>
      </w:r>
      <w:r w:rsidR="00F56A9C">
        <w:rPr>
          <w:lang w:val="en-US"/>
        </w:rPr>
        <w:t xml:space="preserve">a </w:t>
      </w:r>
      <w:r>
        <w:rPr>
          <w:lang w:val="en-US"/>
        </w:rPr>
        <w:t>cell reselection</w:t>
      </w:r>
      <w:r w:rsidR="009E4D21">
        <w:rPr>
          <w:lang w:val="en-US"/>
        </w:rPr>
        <w:t>,</w:t>
      </w:r>
      <w:r>
        <w:rPr>
          <w:lang w:val="en-US"/>
        </w:rPr>
        <w:t xml:space="preserve"> the PUR should be released.</w:t>
      </w:r>
    </w:p>
    <w:p w14:paraId="5C2760BE" w14:textId="77777777" w:rsidR="003113E7" w:rsidRDefault="003113E7" w:rsidP="00E04795">
      <w:pPr>
        <w:rPr>
          <w:lang w:val="en-US"/>
        </w:rPr>
      </w:pPr>
    </w:p>
    <w:p w14:paraId="2E454165" w14:textId="416EB544" w:rsidR="003113E7" w:rsidRDefault="003113E7" w:rsidP="003113E7">
      <w:pPr>
        <w:jc w:val="both"/>
        <w:rPr>
          <w:b/>
          <w:bCs/>
          <w:lang w:val="en-US" w:eastAsia="en-US"/>
        </w:rPr>
      </w:pPr>
      <w:r w:rsidRPr="00D61486">
        <w:rPr>
          <w:b/>
          <w:bCs/>
          <w:lang w:val="en-US" w:eastAsia="en-US"/>
        </w:rPr>
        <w:t>Proposal</w:t>
      </w:r>
      <w:r>
        <w:rPr>
          <w:b/>
          <w:bCs/>
          <w:lang w:val="en-US" w:eastAsia="en-US"/>
        </w:rPr>
        <w:t xml:space="preserve"> 2</w:t>
      </w:r>
      <w:r w:rsidRPr="00D61486">
        <w:rPr>
          <w:b/>
          <w:bCs/>
          <w:lang w:val="en-US" w:eastAsia="en-US"/>
        </w:rPr>
        <w:t xml:space="preserve">: </w:t>
      </w:r>
      <w:r>
        <w:rPr>
          <w:b/>
          <w:bCs/>
          <w:lang w:val="en-US" w:eastAsia="en-US"/>
        </w:rPr>
        <w:t>RAN4 does not define PUR requirements for NGSO in Rel-17.</w:t>
      </w:r>
    </w:p>
    <w:p w14:paraId="3BC00956" w14:textId="77777777" w:rsidR="003113E7" w:rsidRDefault="003113E7" w:rsidP="00E04795">
      <w:pPr>
        <w:rPr>
          <w:lang w:val="en-US"/>
        </w:rPr>
      </w:pPr>
    </w:p>
    <w:p w14:paraId="2E1A2AE9" w14:textId="77777777" w:rsidR="00F256E5" w:rsidRPr="00F256E5" w:rsidRDefault="00F256E5" w:rsidP="00F256E5">
      <w:pPr>
        <w:rPr>
          <w:b/>
          <w:bCs/>
          <w:u w:val="single"/>
        </w:rPr>
      </w:pPr>
      <w:r w:rsidRPr="00F256E5">
        <w:rPr>
          <w:b/>
          <w:bCs/>
          <w:u w:val="single"/>
        </w:rPr>
        <w:t>PUR in NGSO, TA validation for NTN based on t-service</w:t>
      </w:r>
    </w:p>
    <w:p w14:paraId="3CED0296" w14:textId="77777777" w:rsidR="00F256E5" w:rsidRPr="0080285B" w:rsidRDefault="00F256E5" w:rsidP="00F256E5">
      <w:r w:rsidRPr="0080285B">
        <w:t xml:space="preserve">The following proposals can be </w:t>
      </w:r>
      <w:r w:rsidRPr="00F256E5">
        <w:rPr>
          <w:highlight w:val="yellow"/>
        </w:rPr>
        <w:t>FFS</w:t>
      </w:r>
      <w:r w:rsidRPr="0080285B">
        <w:t xml:space="preserve"> in next meeting</w:t>
      </w:r>
    </w:p>
    <w:p w14:paraId="6B891B71" w14:textId="77777777" w:rsidR="00F256E5" w:rsidRPr="00F256E5" w:rsidRDefault="00F256E5" w:rsidP="00F256E5">
      <w:pPr>
        <w:numPr>
          <w:ilvl w:val="0"/>
          <w:numId w:val="25"/>
        </w:numPr>
        <w:overflowPunct w:val="0"/>
        <w:autoSpaceDE w:val="0"/>
        <w:autoSpaceDN w:val="0"/>
        <w:adjustRightInd w:val="0"/>
        <w:spacing w:line="240" w:lineRule="exact"/>
        <w:textAlignment w:val="baseline"/>
        <w:rPr>
          <w:rFonts w:eastAsia="Batang"/>
          <w:szCs w:val="24"/>
          <w:lang w:val="en-US"/>
        </w:rPr>
      </w:pPr>
      <w:r w:rsidRPr="00F256E5">
        <w:rPr>
          <w:rFonts w:eastAsia="Batang"/>
          <w:szCs w:val="24"/>
          <w:lang w:val="en-US"/>
        </w:rPr>
        <w:t>Proposal 1a (new): The UE assumes TA is valid provided that the following conditions are met, otherwise the TA is considered invalid (Ericsson)</w:t>
      </w:r>
    </w:p>
    <w:p w14:paraId="05EEADEC" w14:textId="77777777" w:rsidR="00F256E5" w:rsidRPr="00F256E5" w:rsidRDefault="00F256E5" w:rsidP="00F256E5">
      <w:pPr>
        <w:numPr>
          <w:ilvl w:val="1"/>
          <w:numId w:val="25"/>
        </w:numPr>
        <w:overflowPunct w:val="0"/>
        <w:autoSpaceDE w:val="0"/>
        <w:autoSpaceDN w:val="0"/>
        <w:adjustRightInd w:val="0"/>
        <w:spacing w:line="240" w:lineRule="exact"/>
        <w:textAlignment w:val="baseline"/>
        <w:rPr>
          <w:rFonts w:eastAsia="Batang"/>
          <w:szCs w:val="24"/>
          <w:lang w:val="en-US"/>
        </w:rPr>
      </w:pPr>
      <w:r w:rsidRPr="00F256E5">
        <w:rPr>
          <w:rFonts w:eastAsia="Batang"/>
          <w:szCs w:val="24"/>
          <w:lang w:val="en-US"/>
        </w:rPr>
        <w:t>Current time of the UE is at least DT seconds earlier than t-Service, where DT is the configured PUR periodicity.</w:t>
      </w:r>
    </w:p>
    <w:p w14:paraId="7A97D6D9" w14:textId="0C4EE62F" w:rsidR="00F256E5" w:rsidRDefault="00F256E5" w:rsidP="00E04795">
      <w:pPr>
        <w:rPr>
          <w:lang w:val="en-US"/>
        </w:rPr>
      </w:pPr>
    </w:p>
    <w:p w14:paraId="49E1431C" w14:textId="56D2F24D" w:rsidR="00BF05C5" w:rsidRDefault="00BF05C5" w:rsidP="00E04795">
      <w:pPr>
        <w:rPr>
          <w:lang w:val="en-US"/>
        </w:rPr>
      </w:pPr>
      <w:r>
        <w:rPr>
          <w:lang w:val="en-US"/>
        </w:rPr>
        <w:t xml:space="preserve">Proposal 1a technically makes sense to us, and we believe a normal UE won’t use PUR when the satellite is going to stop service shortly. However, if any specific condition needs to be implemented in spec for such a case, the right working group for that </w:t>
      </w:r>
      <w:r w:rsidR="00300EE9">
        <w:rPr>
          <w:lang w:val="en-US"/>
        </w:rPr>
        <w:t xml:space="preserve">decision </w:t>
      </w:r>
      <w:r>
        <w:rPr>
          <w:lang w:val="en-US"/>
        </w:rPr>
        <w:t>is RAN2.</w:t>
      </w:r>
    </w:p>
    <w:p w14:paraId="44C8A25B" w14:textId="77777777" w:rsidR="00BF05C5" w:rsidRDefault="00BF05C5" w:rsidP="00E04795">
      <w:pPr>
        <w:rPr>
          <w:lang w:val="en-US"/>
        </w:rPr>
      </w:pPr>
    </w:p>
    <w:p w14:paraId="5FF66B91" w14:textId="7D60F975" w:rsidR="00BF05C5" w:rsidRDefault="00BF05C5" w:rsidP="00BF05C5">
      <w:pPr>
        <w:jc w:val="both"/>
        <w:rPr>
          <w:b/>
          <w:bCs/>
          <w:lang w:val="en-US" w:eastAsia="en-US"/>
        </w:rPr>
      </w:pPr>
      <w:r w:rsidRPr="00D61486">
        <w:rPr>
          <w:b/>
          <w:bCs/>
          <w:lang w:val="en-US" w:eastAsia="en-US"/>
        </w:rPr>
        <w:t>Proposal</w:t>
      </w:r>
      <w:r>
        <w:rPr>
          <w:b/>
          <w:bCs/>
          <w:lang w:val="en-US" w:eastAsia="en-US"/>
        </w:rPr>
        <w:t xml:space="preserve"> 3</w:t>
      </w:r>
      <w:r w:rsidRPr="00D61486">
        <w:rPr>
          <w:b/>
          <w:bCs/>
          <w:lang w:val="en-US" w:eastAsia="en-US"/>
        </w:rPr>
        <w:t xml:space="preserve">: </w:t>
      </w:r>
      <w:r>
        <w:rPr>
          <w:b/>
          <w:bCs/>
          <w:lang w:val="en-US" w:eastAsia="en-US"/>
        </w:rPr>
        <w:t>RAN4 does not define a new RAN4-standalone mechanism about TA validation.</w:t>
      </w:r>
    </w:p>
    <w:p w14:paraId="7EA681CB" w14:textId="77777777" w:rsidR="003113E7" w:rsidRDefault="003113E7" w:rsidP="00E04795">
      <w:pPr>
        <w:rPr>
          <w:lang w:val="en-US"/>
        </w:rPr>
      </w:pPr>
    </w:p>
    <w:p w14:paraId="507DAE4C" w14:textId="77777777" w:rsidR="00F256E5" w:rsidRPr="00F256E5" w:rsidRDefault="00F256E5" w:rsidP="00F256E5">
      <w:pPr>
        <w:rPr>
          <w:b/>
          <w:bCs/>
          <w:u w:val="single"/>
        </w:rPr>
      </w:pPr>
      <w:r w:rsidRPr="00F256E5">
        <w:rPr>
          <w:b/>
          <w:bCs/>
          <w:u w:val="single"/>
        </w:rPr>
        <w:t>Issue 2-9-3: PUR, Timing</w:t>
      </w:r>
    </w:p>
    <w:p w14:paraId="009470C1" w14:textId="77777777" w:rsidR="00F256E5" w:rsidRPr="00F256E5" w:rsidRDefault="00F256E5" w:rsidP="00F256E5">
      <w:pPr>
        <w:pStyle w:val="ListParagraph"/>
        <w:numPr>
          <w:ilvl w:val="0"/>
          <w:numId w:val="28"/>
        </w:numPr>
        <w:overflowPunct w:val="0"/>
        <w:autoSpaceDE w:val="0"/>
        <w:autoSpaceDN w:val="0"/>
        <w:adjustRightInd w:val="0"/>
        <w:spacing w:after="120"/>
        <w:contextualSpacing w:val="0"/>
        <w:textAlignment w:val="baseline"/>
        <w:rPr>
          <w:rFonts w:eastAsia="Times New Roman"/>
          <w:bCs/>
          <w:iCs/>
          <w:lang w:eastAsia="zh-TW"/>
        </w:rPr>
      </w:pPr>
      <w:r w:rsidRPr="00F256E5">
        <w:rPr>
          <w:rFonts w:eastAsia="Yu Mincho"/>
          <w:color w:val="000000" w:themeColor="text1"/>
        </w:rPr>
        <w:t xml:space="preserve">The UE update the uplink timing for transmitting on PUR using the configured TA command </w:t>
      </w:r>
      <w:r w:rsidRPr="00F256E5">
        <w:rPr>
          <w:rFonts w:eastAsia="Times New Roman"/>
          <w:color w:val="000000" w:themeColor="text1"/>
        </w:rPr>
        <w:t xml:space="preserve">according to TS 36.211 v17.2.0 i.e. transmission of uplink radio frame number </w:t>
      </w:r>
      <w:r w:rsidRPr="00F256E5">
        <w:rPr>
          <w:position w:val="-6"/>
        </w:rPr>
        <w:object w:dxaOrig="139" w:dyaOrig="240" w14:anchorId="3D2F0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14.4pt" o:ole="">
            <v:imagedata r:id="rId11" o:title=""/>
          </v:shape>
          <o:OLEObject Type="Embed" ProgID="Equation.3" ShapeID="_x0000_i1025" DrawAspect="Content" ObjectID="_1729320916" r:id="rId12"/>
        </w:object>
      </w:r>
      <w:r w:rsidRPr="00F256E5">
        <w:rPr>
          <w:rFonts w:eastAsia="Times New Roman"/>
          <w:color w:val="000000" w:themeColor="text1"/>
        </w:rPr>
        <w:t xml:space="preserve"> from the UE starts </w:t>
      </w:r>
      <m:oMath>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T</m:t>
            </m:r>
          </m:e>
          <m:sub>
            <m:r>
              <m:rPr>
                <m:nor/>
              </m:rPr>
              <w:rPr>
                <w:rFonts w:eastAsia="Times New Roman"/>
                <w:color w:val="000000" w:themeColor="text1"/>
              </w:rPr>
              <m:t>TA</m:t>
            </m:r>
          </m:sub>
        </m:sSub>
        <m:r>
          <m:rPr>
            <m:sty m:val="bi"/>
          </m:rPr>
          <w:rPr>
            <w:rFonts w:ascii="Cambria Math" w:eastAsia="Times New Roman" w:hAnsi="Cambria Math"/>
            <w:color w:val="000000" w:themeColor="text1"/>
          </w:rPr>
          <m:t>=</m:t>
        </m:r>
        <m:d>
          <m:dPr>
            <m:ctrlPr>
              <w:rPr>
                <w:rFonts w:ascii="Cambria Math" w:eastAsia="Times New Roman" w:hAnsi="Cambria Math"/>
                <w:i/>
                <w:color w:val="000000" w:themeColor="text1"/>
              </w:rPr>
            </m:ctrlPr>
          </m:dPr>
          <m:e>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N</m:t>
                </m:r>
              </m:e>
              <m:sub>
                <m:r>
                  <m:rPr>
                    <m:nor/>
                  </m:rPr>
                  <w:rPr>
                    <w:rFonts w:eastAsia="Times New Roman"/>
                    <w:color w:val="000000" w:themeColor="text1"/>
                  </w:rPr>
                  <m:t>TA</m:t>
                </m:r>
              </m:sub>
            </m:sSub>
            <m:r>
              <m:rPr>
                <m:sty m:val="bi"/>
              </m:rPr>
              <w:rPr>
                <w:rFonts w:ascii="Cambria Math" w:eastAsia="Times New Roman" w:hAnsi="Cambria Math"/>
                <w:color w:val="000000" w:themeColor="text1"/>
              </w:rPr>
              <m:t>+</m:t>
            </m:r>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N</m:t>
                </m:r>
              </m:e>
              <m:sub>
                <m:r>
                  <m:rPr>
                    <m:nor/>
                  </m:rPr>
                  <w:rPr>
                    <w:rFonts w:eastAsia="Times New Roman"/>
                    <w:color w:val="000000" w:themeColor="text1"/>
                  </w:rPr>
                  <m:t>TA,offset</m:t>
                </m:r>
              </m:sub>
            </m:sSub>
            <m:r>
              <m:rPr>
                <m:sty m:val="bi"/>
              </m:rPr>
              <w:rPr>
                <w:rFonts w:ascii="Cambria Math" w:eastAsia="Times New Roman" w:hAnsi="Cambria Math"/>
                <w:color w:val="000000" w:themeColor="text1"/>
              </w:rPr>
              <m:t>+</m:t>
            </m:r>
            <m:sSubSup>
              <m:sSubSupPr>
                <m:ctrlPr>
                  <w:rPr>
                    <w:rFonts w:ascii="Cambria Math" w:eastAsia="Times New Roman" w:hAnsi="Cambria Math"/>
                    <w:i/>
                    <w:color w:val="000000" w:themeColor="text1"/>
                  </w:rPr>
                </m:ctrlPr>
              </m:sSubSupPr>
              <m:e>
                <m:r>
                  <m:rPr>
                    <m:sty m:val="bi"/>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common</m:t>
                </m:r>
              </m:sup>
            </m:sSubSup>
            <m:r>
              <m:rPr>
                <m:sty m:val="bi"/>
              </m:rPr>
              <w:rPr>
                <w:rFonts w:ascii="Cambria Math" w:eastAsia="Times New Roman" w:hAnsi="Cambria Math"/>
                <w:color w:val="000000" w:themeColor="text1"/>
              </w:rPr>
              <m:t>+</m:t>
            </m:r>
            <m:sSubSup>
              <m:sSubSupPr>
                <m:ctrlPr>
                  <w:rPr>
                    <w:rFonts w:ascii="Cambria Math" w:eastAsia="Times New Roman" w:hAnsi="Cambria Math"/>
                    <w:i/>
                    <w:color w:val="000000" w:themeColor="text1"/>
                  </w:rPr>
                </m:ctrlPr>
              </m:sSubSupPr>
              <m:e>
                <m:r>
                  <m:rPr>
                    <m:sty m:val="bi"/>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UE</m:t>
                </m:r>
              </m:sup>
            </m:sSubSup>
          </m:e>
        </m:d>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T</m:t>
            </m:r>
          </m:e>
          <m:sub>
            <m:r>
              <m:rPr>
                <m:nor/>
              </m:rPr>
              <w:rPr>
                <w:rFonts w:eastAsia="Times New Roman"/>
                <w:color w:val="000000" w:themeColor="text1"/>
              </w:rPr>
              <m:t>s</m:t>
            </m:r>
          </m:sub>
        </m:sSub>
      </m:oMath>
    </w:p>
    <w:p w14:paraId="59B6591B" w14:textId="77777777" w:rsidR="00F256E5" w:rsidRPr="00F256E5" w:rsidRDefault="00F256E5" w:rsidP="00F256E5">
      <w:pPr>
        <w:pStyle w:val="ListParagraph"/>
        <w:numPr>
          <w:ilvl w:val="1"/>
          <w:numId w:val="28"/>
        </w:numPr>
        <w:overflowPunct w:val="0"/>
        <w:autoSpaceDE w:val="0"/>
        <w:autoSpaceDN w:val="0"/>
        <w:adjustRightInd w:val="0"/>
        <w:spacing w:after="120"/>
        <w:contextualSpacing w:val="0"/>
        <w:textAlignment w:val="baseline"/>
        <w:rPr>
          <w:rFonts w:eastAsia="Times New Roman"/>
          <w:bCs/>
          <w:iCs/>
          <w:lang w:eastAsia="zh-TW"/>
        </w:rPr>
      </w:pPr>
      <w:r w:rsidRPr="00F256E5">
        <w:rPr>
          <w:rFonts w:eastAsia="Yu Mincho"/>
          <w:color w:val="000000" w:themeColor="text1"/>
        </w:rPr>
        <w:t xml:space="preserve">FFS the assumption on </w:t>
      </w:r>
      <m:oMath>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N</m:t>
            </m:r>
          </m:e>
          <m:sub>
            <m:r>
              <m:rPr>
                <m:nor/>
              </m:rPr>
              <w:rPr>
                <w:rFonts w:eastAsia="Times New Roman"/>
                <w:color w:val="000000" w:themeColor="text1"/>
              </w:rPr>
              <m:t>TA</m:t>
            </m:r>
          </m:sub>
        </m:sSub>
      </m:oMath>
    </w:p>
    <w:p w14:paraId="716B65EC" w14:textId="3F554203" w:rsidR="00F256E5" w:rsidRDefault="00F256E5" w:rsidP="00E04795"/>
    <w:p w14:paraId="44D23C37" w14:textId="05A5B80A" w:rsidR="00BF05C5" w:rsidRPr="00F256E5" w:rsidRDefault="00F83916" w:rsidP="00E04795">
      <w:r>
        <w:t>Although we understand that N_TA may not be valid if UE updates its GNSS location information</w:t>
      </w:r>
      <w:r w:rsidR="007E6D5D">
        <w:t xml:space="preserve"> in RRC inactive mode</w:t>
      </w:r>
      <w:r>
        <w:t xml:space="preserve">, if </w:t>
      </w:r>
      <w:r w:rsidR="00BF05C5">
        <w:t>N_TA needs to be clarified</w:t>
      </w:r>
      <w:r>
        <w:t xml:space="preserve"> or redefined, it should be discussed in RAN1 or RAN2.</w:t>
      </w:r>
    </w:p>
    <w:p w14:paraId="0FB684DE" w14:textId="7BB02160" w:rsidR="00DE1BD7" w:rsidRDefault="00DE1BD7" w:rsidP="00E04795">
      <w:pPr>
        <w:rPr>
          <w:lang w:val="en-US"/>
        </w:rPr>
      </w:pPr>
    </w:p>
    <w:p w14:paraId="05AA2BD0" w14:textId="51FD22AD" w:rsidR="0068626B" w:rsidRDefault="0068626B" w:rsidP="0068626B">
      <w:pPr>
        <w:jc w:val="both"/>
        <w:rPr>
          <w:b/>
          <w:bCs/>
          <w:lang w:val="en-US" w:eastAsia="en-US"/>
        </w:rPr>
      </w:pPr>
      <w:r w:rsidRPr="00D61486">
        <w:rPr>
          <w:b/>
          <w:bCs/>
          <w:lang w:val="en-US" w:eastAsia="en-US"/>
        </w:rPr>
        <w:t>Proposal</w:t>
      </w:r>
      <w:r>
        <w:rPr>
          <w:b/>
          <w:bCs/>
          <w:lang w:val="en-US" w:eastAsia="en-US"/>
        </w:rPr>
        <w:t xml:space="preserve"> </w:t>
      </w:r>
      <w:r w:rsidR="009B0B8F">
        <w:rPr>
          <w:b/>
          <w:bCs/>
          <w:lang w:val="en-US" w:eastAsia="en-US"/>
        </w:rPr>
        <w:t>4</w:t>
      </w:r>
      <w:r w:rsidRPr="00D61486">
        <w:rPr>
          <w:b/>
          <w:bCs/>
          <w:lang w:val="en-US" w:eastAsia="en-US"/>
        </w:rPr>
        <w:t>:</w:t>
      </w:r>
      <w:r w:rsidR="009B0B8F">
        <w:rPr>
          <w:b/>
          <w:bCs/>
          <w:lang w:val="en-US" w:eastAsia="en-US"/>
        </w:rPr>
        <w:t xml:space="preserve"> </w:t>
      </w:r>
      <w:r w:rsidR="00F83916">
        <w:rPr>
          <w:b/>
          <w:bCs/>
          <w:lang w:val="en-US" w:eastAsia="en-US"/>
        </w:rPr>
        <w:t>RAN4 does not redefine N_TA of PUR. If needed, the clarification/redefinition shall be discussed in RAN1 and/or RAN2.</w:t>
      </w:r>
    </w:p>
    <w:p w14:paraId="341E9DD8" w14:textId="68E55FE1" w:rsidR="009E54DA" w:rsidRPr="001E4305" w:rsidRDefault="00527894" w:rsidP="00240F55">
      <w:pPr>
        <w:pStyle w:val="Heading1"/>
        <w:ind w:left="0" w:firstLine="0"/>
      </w:pPr>
      <w:r>
        <w:t>3.</w:t>
      </w:r>
      <w:r>
        <w:tab/>
      </w:r>
      <w:r w:rsidR="009E54DA">
        <w:t>Conclusion</w:t>
      </w:r>
    </w:p>
    <w:p w14:paraId="0C89E973" w14:textId="71DC4FFC" w:rsidR="00DB4177" w:rsidRDefault="00DB4177" w:rsidP="00DB4177">
      <w:pPr>
        <w:jc w:val="both"/>
        <w:rPr>
          <w:lang w:eastAsia="en-US"/>
        </w:rPr>
      </w:pPr>
      <w:r w:rsidRPr="00D50DD1">
        <w:rPr>
          <w:lang w:eastAsia="en-US"/>
        </w:rPr>
        <w:t>We present</w:t>
      </w:r>
      <w:r>
        <w:rPr>
          <w:lang w:eastAsia="en-US"/>
        </w:rPr>
        <w:t>ed</w:t>
      </w:r>
      <w:r w:rsidRPr="00D50DD1">
        <w:rPr>
          <w:lang w:eastAsia="en-US"/>
        </w:rPr>
        <w:t xml:space="preserve"> our views </w:t>
      </w:r>
      <w:r>
        <w:rPr>
          <w:lang w:eastAsia="en-US"/>
        </w:rPr>
        <w:t xml:space="preserve">on the </w:t>
      </w:r>
      <w:r w:rsidR="004C29B9">
        <w:rPr>
          <w:lang w:eastAsia="en-US"/>
        </w:rPr>
        <w:t xml:space="preserve">following </w:t>
      </w:r>
      <w:r w:rsidR="009471D4">
        <w:rPr>
          <w:lang w:eastAsia="en-US"/>
        </w:rPr>
        <w:t xml:space="preserve">four </w:t>
      </w:r>
      <w:r w:rsidR="004C29B9">
        <w:rPr>
          <w:lang w:eastAsia="en-US"/>
        </w:rPr>
        <w:t>issues</w:t>
      </w:r>
      <w:r>
        <w:rPr>
          <w:lang w:eastAsia="en-US"/>
        </w:rPr>
        <w:t>.</w:t>
      </w:r>
    </w:p>
    <w:p w14:paraId="1A02F0C4" w14:textId="77777777" w:rsidR="009471D4" w:rsidRPr="004C29B9" w:rsidRDefault="009471D4" w:rsidP="009471D4">
      <w:pPr>
        <w:rPr>
          <w:b/>
          <w:bCs/>
          <w:u w:val="single"/>
          <w:lang w:val="en-US"/>
        </w:rPr>
      </w:pPr>
      <w:r>
        <w:rPr>
          <w:b/>
          <w:bCs/>
          <w:u w:val="single"/>
        </w:rPr>
        <w:t>M</w:t>
      </w:r>
      <w:r w:rsidRPr="000E69E4">
        <w:rPr>
          <w:b/>
          <w:bCs/>
          <w:u w:val="single"/>
        </w:rPr>
        <w:t xml:space="preserve">easurement </w:t>
      </w:r>
      <w:r>
        <w:rPr>
          <w:b/>
          <w:bCs/>
          <w:u w:val="single"/>
        </w:rPr>
        <w:t>C</w:t>
      </w:r>
      <w:r w:rsidRPr="000E69E4">
        <w:rPr>
          <w:b/>
          <w:bCs/>
          <w:u w:val="single"/>
        </w:rPr>
        <w:t xml:space="preserve">apability on </w:t>
      </w:r>
      <w:r>
        <w:rPr>
          <w:b/>
          <w:bCs/>
          <w:u w:val="single"/>
        </w:rPr>
        <w:t>the N</w:t>
      </w:r>
      <w:r w:rsidRPr="000E69E4">
        <w:rPr>
          <w:b/>
          <w:bCs/>
          <w:u w:val="single"/>
        </w:rPr>
        <w:t xml:space="preserve">umber of NGSO </w:t>
      </w:r>
      <w:r>
        <w:rPr>
          <w:b/>
          <w:bCs/>
          <w:u w:val="single"/>
        </w:rPr>
        <w:t>S</w:t>
      </w:r>
      <w:r w:rsidRPr="000E69E4">
        <w:rPr>
          <w:b/>
          <w:bCs/>
          <w:u w:val="single"/>
        </w:rPr>
        <w:t>atellites</w:t>
      </w:r>
    </w:p>
    <w:p w14:paraId="6F5036AC" w14:textId="77777777" w:rsidR="005E2CFF" w:rsidRDefault="005E2CFF" w:rsidP="005E2CFF">
      <w:pPr>
        <w:jc w:val="both"/>
        <w:rPr>
          <w:b/>
          <w:bCs/>
          <w:lang w:val="en-US" w:eastAsia="en-US"/>
        </w:rPr>
      </w:pPr>
      <w:r w:rsidRPr="00D61486">
        <w:rPr>
          <w:b/>
          <w:bCs/>
          <w:lang w:val="en-US" w:eastAsia="en-US"/>
        </w:rPr>
        <w:t>Proposal</w:t>
      </w:r>
      <w:r>
        <w:rPr>
          <w:b/>
          <w:bCs/>
          <w:lang w:val="en-US" w:eastAsia="en-US"/>
        </w:rPr>
        <w:t xml:space="preserve"> 1</w:t>
      </w:r>
      <w:r w:rsidRPr="00D61486">
        <w:rPr>
          <w:b/>
          <w:bCs/>
          <w:lang w:val="en-US" w:eastAsia="en-US"/>
        </w:rPr>
        <w:t xml:space="preserve">: </w:t>
      </w:r>
      <w:r>
        <w:rPr>
          <w:b/>
          <w:bCs/>
          <w:lang w:val="en-US" w:eastAsia="en-US"/>
        </w:rPr>
        <w:t xml:space="preserve">For NB and M1 UEs supporting NGSO, the minimum capability of the total number of NGSO satellites that IoT UE shall be able to monitor in total should not be larger than 2. </w:t>
      </w:r>
      <w:proofErr w:type="gramStart"/>
      <w:r>
        <w:rPr>
          <w:b/>
          <w:bCs/>
          <w:lang w:val="en-US" w:eastAsia="en-US"/>
        </w:rPr>
        <w:t>i.e.</w:t>
      </w:r>
      <w:proofErr w:type="gramEnd"/>
      <w:r>
        <w:rPr>
          <w:b/>
          <w:bCs/>
          <w:lang w:val="en-US" w:eastAsia="en-US"/>
        </w:rPr>
        <w:t xml:space="preserve"> when a UE is required to monitor cells belong to different satellites over multiple frequency layers, the minimum of the UE capability on the total number of the satellites across the layers shall not be larger than 2.</w:t>
      </w:r>
    </w:p>
    <w:p w14:paraId="61C785CB" w14:textId="77777777" w:rsidR="009471D4" w:rsidRDefault="009471D4" w:rsidP="009471D4">
      <w:pPr>
        <w:rPr>
          <w:lang w:val="en-US"/>
        </w:rPr>
      </w:pPr>
    </w:p>
    <w:p w14:paraId="3E649C48" w14:textId="77777777" w:rsidR="009471D4" w:rsidRPr="00F256E5" w:rsidRDefault="009471D4" w:rsidP="009471D4">
      <w:pPr>
        <w:rPr>
          <w:b/>
          <w:bCs/>
          <w:u w:val="single"/>
        </w:rPr>
      </w:pPr>
      <w:r w:rsidRPr="00F256E5">
        <w:rPr>
          <w:b/>
          <w:bCs/>
          <w:u w:val="single"/>
        </w:rPr>
        <w:t>PUR, RSRP-based TA validation</w:t>
      </w:r>
    </w:p>
    <w:p w14:paraId="34CC4056" w14:textId="77777777" w:rsidR="009471D4" w:rsidRDefault="009471D4" w:rsidP="009471D4">
      <w:pPr>
        <w:jc w:val="both"/>
        <w:rPr>
          <w:b/>
          <w:bCs/>
          <w:lang w:val="en-US" w:eastAsia="en-US"/>
        </w:rPr>
      </w:pPr>
      <w:r w:rsidRPr="00D61486">
        <w:rPr>
          <w:b/>
          <w:bCs/>
          <w:lang w:val="en-US" w:eastAsia="en-US"/>
        </w:rPr>
        <w:t>Proposal</w:t>
      </w:r>
      <w:r>
        <w:rPr>
          <w:b/>
          <w:bCs/>
          <w:lang w:val="en-US" w:eastAsia="en-US"/>
        </w:rPr>
        <w:t xml:space="preserve"> 2</w:t>
      </w:r>
      <w:r w:rsidRPr="00D61486">
        <w:rPr>
          <w:b/>
          <w:bCs/>
          <w:lang w:val="en-US" w:eastAsia="en-US"/>
        </w:rPr>
        <w:t xml:space="preserve">: </w:t>
      </w:r>
      <w:r>
        <w:rPr>
          <w:b/>
          <w:bCs/>
          <w:lang w:val="en-US" w:eastAsia="en-US"/>
        </w:rPr>
        <w:t>RAN4 does not define PUR requirements for NGSO in Rel-17.</w:t>
      </w:r>
    </w:p>
    <w:p w14:paraId="1ACCF657" w14:textId="77777777" w:rsidR="009471D4" w:rsidRDefault="009471D4" w:rsidP="009471D4">
      <w:pPr>
        <w:rPr>
          <w:lang w:val="en-US"/>
        </w:rPr>
      </w:pPr>
    </w:p>
    <w:p w14:paraId="44132BF1" w14:textId="77777777" w:rsidR="009471D4" w:rsidRPr="00F256E5" w:rsidRDefault="009471D4" w:rsidP="009471D4">
      <w:pPr>
        <w:rPr>
          <w:b/>
          <w:bCs/>
          <w:u w:val="single"/>
        </w:rPr>
      </w:pPr>
      <w:r w:rsidRPr="00F256E5">
        <w:rPr>
          <w:b/>
          <w:bCs/>
          <w:u w:val="single"/>
        </w:rPr>
        <w:t>PUR in NGSO, TA validation for NTN based on t-service</w:t>
      </w:r>
    </w:p>
    <w:p w14:paraId="2E898934" w14:textId="77777777" w:rsidR="009471D4" w:rsidRDefault="009471D4" w:rsidP="009471D4">
      <w:pPr>
        <w:jc w:val="both"/>
        <w:rPr>
          <w:b/>
          <w:bCs/>
          <w:lang w:val="en-US" w:eastAsia="en-US"/>
        </w:rPr>
      </w:pPr>
      <w:r w:rsidRPr="00D61486">
        <w:rPr>
          <w:b/>
          <w:bCs/>
          <w:lang w:val="en-US" w:eastAsia="en-US"/>
        </w:rPr>
        <w:t>Proposal</w:t>
      </w:r>
      <w:r>
        <w:rPr>
          <w:b/>
          <w:bCs/>
          <w:lang w:val="en-US" w:eastAsia="en-US"/>
        </w:rPr>
        <w:t xml:space="preserve"> 3</w:t>
      </w:r>
      <w:r w:rsidRPr="00D61486">
        <w:rPr>
          <w:b/>
          <w:bCs/>
          <w:lang w:val="en-US" w:eastAsia="en-US"/>
        </w:rPr>
        <w:t xml:space="preserve">: </w:t>
      </w:r>
      <w:r>
        <w:rPr>
          <w:b/>
          <w:bCs/>
          <w:lang w:val="en-US" w:eastAsia="en-US"/>
        </w:rPr>
        <w:t>RAN4 does not define a new RAN4-standalone mechanism about TA validation.</w:t>
      </w:r>
    </w:p>
    <w:p w14:paraId="6D6162C2" w14:textId="77777777" w:rsidR="009471D4" w:rsidRDefault="009471D4" w:rsidP="009471D4">
      <w:pPr>
        <w:rPr>
          <w:lang w:val="en-US"/>
        </w:rPr>
      </w:pPr>
    </w:p>
    <w:p w14:paraId="4C16A8A2" w14:textId="77777777" w:rsidR="009471D4" w:rsidRPr="00F256E5" w:rsidRDefault="009471D4" w:rsidP="009471D4">
      <w:pPr>
        <w:rPr>
          <w:b/>
          <w:bCs/>
          <w:u w:val="single"/>
        </w:rPr>
      </w:pPr>
      <w:r w:rsidRPr="00F256E5">
        <w:rPr>
          <w:b/>
          <w:bCs/>
          <w:u w:val="single"/>
        </w:rPr>
        <w:t>Issue 2-9-3: PUR, Timing</w:t>
      </w:r>
    </w:p>
    <w:p w14:paraId="1C5027F2" w14:textId="77777777" w:rsidR="009471D4" w:rsidRDefault="009471D4" w:rsidP="009471D4">
      <w:pPr>
        <w:jc w:val="both"/>
        <w:rPr>
          <w:b/>
          <w:bCs/>
          <w:lang w:val="en-US" w:eastAsia="en-US"/>
        </w:rPr>
      </w:pPr>
      <w:r w:rsidRPr="00D61486">
        <w:rPr>
          <w:b/>
          <w:bCs/>
          <w:lang w:val="en-US" w:eastAsia="en-US"/>
        </w:rPr>
        <w:t>Proposal</w:t>
      </w:r>
      <w:r>
        <w:rPr>
          <w:b/>
          <w:bCs/>
          <w:lang w:val="en-US" w:eastAsia="en-US"/>
        </w:rPr>
        <w:t xml:space="preserve"> 4</w:t>
      </w:r>
      <w:r w:rsidRPr="00D61486">
        <w:rPr>
          <w:b/>
          <w:bCs/>
          <w:lang w:val="en-US" w:eastAsia="en-US"/>
        </w:rPr>
        <w:t>:</w:t>
      </w:r>
      <w:r>
        <w:rPr>
          <w:b/>
          <w:bCs/>
          <w:lang w:val="en-US" w:eastAsia="en-US"/>
        </w:rPr>
        <w:t xml:space="preserve"> RAN4 does not redefine N_TA of PUR. If needed, the clarification/redefinition shall be discussed in RAN1 and/or RAN2.</w:t>
      </w:r>
    </w:p>
    <w:p w14:paraId="2EEA7019" w14:textId="77777777" w:rsidR="004C29B9" w:rsidRPr="004C29B9" w:rsidRDefault="004C29B9" w:rsidP="009471D4">
      <w:pPr>
        <w:rPr>
          <w:lang w:val="en-US" w:eastAsia="en-US"/>
        </w:rPr>
      </w:pPr>
    </w:p>
    <w:sectPr w:rsidR="004C29B9" w:rsidRPr="004C29B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6FFCA" w14:textId="77777777" w:rsidR="004A7D21" w:rsidRDefault="004A7D21" w:rsidP="009939B7">
      <w:pPr>
        <w:spacing w:after="0"/>
      </w:pPr>
      <w:r>
        <w:separator/>
      </w:r>
    </w:p>
  </w:endnote>
  <w:endnote w:type="continuationSeparator" w:id="0">
    <w:p w14:paraId="7769DD9E" w14:textId="77777777" w:rsidR="004A7D21" w:rsidRDefault="004A7D21" w:rsidP="009939B7">
      <w:pPr>
        <w:spacing w:after="0"/>
      </w:pPr>
      <w:r>
        <w:continuationSeparator/>
      </w:r>
    </w:p>
  </w:endnote>
  <w:endnote w:type="continuationNotice" w:id="1">
    <w:p w14:paraId="3672036F" w14:textId="77777777" w:rsidR="004A7D21" w:rsidRDefault="004A7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30072" w14:textId="77777777" w:rsidR="004A7D21" w:rsidRDefault="004A7D21" w:rsidP="009939B7">
      <w:pPr>
        <w:spacing w:after="0"/>
      </w:pPr>
      <w:r>
        <w:separator/>
      </w:r>
    </w:p>
  </w:footnote>
  <w:footnote w:type="continuationSeparator" w:id="0">
    <w:p w14:paraId="2EB2825C" w14:textId="77777777" w:rsidR="004A7D21" w:rsidRDefault="004A7D21" w:rsidP="009939B7">
      <w:pPr>
        <w:spacing w:after="0"/>
      </w:pPr>
      <w:r>
        <w:continuationSeparator/>
      </w:r>
    </w:p>
  </w:footnote>
  <w:footnote w:type="continuationNotice" w:id="1">
    <w:p w14:paraId="57FBBD53" w14:textId="77777777" w:rsidR="004A7D21" w:rsidRDefault="004A7D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53"/>
    <w:multiLevelType w:val="hybridMultilevel"/>
    <w:tmpl w:val="5B0A1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0010F1"/>
    <w:multiLevelType w:val="hybridMultilevel"/>
    <w:tmpl w:val="58006816"/>
    <w:lvl w:ilvl="0" w:tplc="8A72B69E">
      <w:start w:val="1"/>
      <w:numFmt w:val="bullet"/>
      <w:lvlText w:val="•"/>
      <w:lvlJc w:val="left"/>
      <w:pPr>
        <w:tabs>
          <w:tab w:val="num" w:pos="720"/>
        </w:tabs>
        <w:ind w:left="720" w:hanging="360"/>
      </w:pPr>
      <w:rPr>
        <w:rFonts w:ascii="Arial" w:hAnsi="Arial" w:hint="default"/>
      </w:rPr>
    </w:lvl>
    <w:lvl w:ilvl="1" w:tplc="5D2AAD22">
      <w:numFmt w:val="bullet"/>
      <w:lvlText w:val="•"/>
      <w:lvlJc w:val="left"/>
      <w:pPr>
        <w:tabs>
          <w:tab w:val="num" w:pos="1440"/>
        </w:tabs>
        <w:ind w:left="1440" w:hanging="360"/>
      </w:pPr>
      <w:rPr>
        <w:rFonts w:ascii="Arial" w:hAnsi="Arial" w:hint="default"/>
      </w:rPr>
    </w:lvl>
    <w:lvl w:ilvl="2" w:tplc="8A3E0308">
      <w:numFmt w:val="bullet"/>
      <w:lvlText w:val="•"/>
      <w:lvlJc w:val="left"/>
      <w:pPr>
        <w:tabs>
          <w:tab w:val="num" w:pos="2160"/>
        </w:tabs>
        <w:ind w:left="2160" w:hanging="360"/>
      </w:pPr>
      <w:rPr>
        <w:rFonts w:ascii="Microsoft Sans Serif" w:hAnsi="Microsoft Sans Serif" w:hint="default"/>
      </w:rPr>
    </w:lvl>
    <w:lvl w:ilvl="3" w:tplc="CB703188" w:tentative="1">
      <w:start w:val="1"/>
      <w:numFmt w:val="bullet"/>
      <w:lvlText w:val="•"/>
      <w:lvlJc w:val="left"/>
      <w:pPr>
        <w:tabs>
          <w:tab w:val="num" w:pos="2880"/>
        </w:tabs>
        <w:ind w:left="2880" w:hanging="360"/>
      </w:pPr>
      <w:rPr>
        <w:rFonts w:ascii="Arial" w:hAnsi="Arial" w:hint="default"/>
      </w:rPr>
    </w:lvl>
    <w:lvl w:ilvl="4" w:tplc="B316F40E" w:tentative="1">
      <w:start w:val="1"/>
      <w:numFmt w:val="bullet"/>
      <w:lvlText w:val="•"/>
      <w:lvlJc w:val="left"/>
      <w:pPr>
        <w:tabs>
          <w:tab w:val="num" w:pos="3600"/>
        </w:tabs>
        <w:ind w:left="3600" w:hanging="360"/>
      </w:pPr>
      <w:rPr>
        <w:rFonts w:ascii="Arial" w:hAnsi="Arial" w:hint="default"/>
      </w:rPr>
    </w:lvl>
    <w:lvl w:ilvl="5" w:tplc="54ACD282" w:tentative="1">
      <w:start w:val="1"/>
      <w:numFmt w:val="bullet"/>
      <w:lvlText w:val="•"/>
      <w:lvlJc w:val="left"/>
      <w:pPr>
        <w:tabs>
          <w:tab w:val="num" w:pos="4320"/>
        </w:tabs>
        <w:ind w:left="4320" w:hanging="360"/>
      </w:pPr>
      <w:rPr>
        <w:rFonts w:ascii="Arial" w:hAnsi="Arial" w:hint="default"/>
      </w:rPr>
    </w:lvl>
    <w:lvl w:ilvl="6" w:tplc="7BDAD800" w:tentative="1">
      <w:start w:val="1"/>
      <w:numFmt w:val="bullet"/>
      <w:lvlText w:val="•"/>
      <w:lvlJc w:val="left"/>
      <w:pPr>
        <w:tabs>
          <w:tab w:val="num" w:pos="5040"/>
        </w:tabs>
        <w:ind w:left="5040" w:hanging="360"/>
      </w:pPr>
      <w:rPr>
        <w:rFonts w:ascii="Arial" w:hAnsi="Arial" w:hint="default"/>
      </w:rPr>
    </w:lvl>
    <w:lvl w:ilvl="7" w:tplc="0FFA6ACC" w:tentative="1">
      <w:start w:val="1"/>
      <w:numFmt w:val="bullet"/>
      <w:lvlText w:val="•"/>
      <w:lvlJc w:val="left"/>
      <w:pPr>
        <w:tabs>
          <w:tab w:val="num" w:pos="5760"/>
        </w:tabs>
        <w:ind w:left="5760" w:hanging="360"/>
      </w:pPr>
      <w:rPr>
        <w:rFonts w:ascii="Arial" w:hAnsi="Arial" w:hint="default"/>
      </w:rPr>
    </w:lvl>
    <w:lvl w:ilvl="8" w:tplc="998AE3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53207"/>
    <w:multiLevelType w:val="hybridMultilevel"/>
    <w:tmpl w:val="01D46614"/>
    <w:lvl w:ilvl="0" w:tplc="97181CF2">
      <w:start w:val="1"/>
      <w:numFmt w:val="bullet"/>
      <w:lvlText w:val=""/>
      <w:lvlJc w:val="left"/>
      <w:pPr>
        <w:tabs>
          <w:tab w:val="num" w:pos="720"/>
        </w:tabs>
        <w:ind w:left="720" w:hanging="360"/>
      </w:pPr>
      <w:rPr>
        <w:rFonts w:ascii="Symbol" w:hAnsi="Symbol" w:hint="default"/>
      </w:rPr>
    </w:lvl>
    <w:lvl w:ilvl="1" w:tplc="E564B864">
      <w:numFmt w:val="bullet"/>
      <w:lvlText w:val="o"/>
      <w:lvlJc w:val="left"/>
      <w:pPr>
        <w:tabs>
          <w:tab w:val="num" w:pos="1440"/>
        </w:tabs>
        <w:ind w:left="1440" w:hanging="360"/>
      </w:pPr>
      <w:rPr>
        <w:rFonts w:ascii="Courier New" w:hAnsi="Courier New" w:hint="default"/>
      </w:rPr>
    </w:lvl>
    <w:lvl w:ilvl="2" w:tplc="5B2C447A" w:tentative="1">
      <w:start w:val="1"/>
      <w:numFmt w:val="bullet"/>
      <w:lvlText w:val=""/>
      <w:lvlJc w:val="left"/>
      <w:pPr>
        <w:tabs>
          <w:tab w:val="num" w:pos="2160"/>
        </w:tabs>
        <w:ind w:left="2160" w:hanging="360"/>
      </w:pPr>
      <w:rPr>
        <w:rFonts w:ascii="Symbol" w:hAnsi="Symbol" w:hint="default"/>
      </w:rPr>
    </w:lvl>
    <w:lvl w:ilvl="3" w:tplc="4F389B8A" w:tentative="1">
      <w:start w:val="1"/>
      <w:numFmt w:val="bullet"/>
      <w:lvlText w:val=""/>
      <w:lvlJc w:val="left"/>
      <w:pPr>
        <w:tabs>
          <w:tab w:val="num" w:pos="2880"/>
        </w:tabs>
        <w:ind w:left="2880" w:hanging="360"/>
      </w:pPr>
      <w:rPr>
        <w:rFonts w:ascii="Symbol" w:hAnsi="Symbol" w:hint="default"/>
      </w:rPr>
    </w:lvl>
    <w:lvl w:ilvl="4" w:tplc="737831BE" w:tentative="1">
      <w:start w:val="1"/>
      <w:numFmt w:val="bullet"/>
      <w:lvlText w:val=""/>
      <w:lvlJc w:val="left"/>
      <w:pPr>
        <w:tabs>
          <w:tab w:val="num" w:pos="3600"/>
        </w:tabs>
        <w:ind w:left="3600" w:hanging="360"/>
      </w:pPr>
      <w:rPr>
        <w:rFonts w:ascii="Symbol" w:hAnsi="Symbol" w:hint="default"/>
      </w:rPr>
    </w:lvl>
    <w:lvl w:ilvl="5" w:tplc="C4B26E06" w:tentative="1">
      <w:start w:val="1"/>
      <w:numFmt w:val="bullet"/>
      <w:lvlText w:val=""/>
      <w:lvlJc w:val="left"/>
      <w:pPr>
        <w:tabs>
          <w:tab w:val="num" w:pos="4320"/>
        </w:tabs>
        <w:ind w:left="4320" w:hanging="360"/>
      </w:pPr>
      <w:rPr>
        <w:rFonts w:ascii="Symbol" w:hAnsi="Symbol" w:hint="default"/>
      </w:rPr>
    </w:lvl>
    <w:lvl w:ilvl="6" w:tplc="7C1A5E72" w:tentative="1">
      <w:start w:val="1"/>
      <w:numFmt w:val="bullet"/>
      <w:lvlText w:val=""/>
      <w:lvlJc w:val="left"/>
      <w:pPr>
        <w:tabs>
          <w:tab w:val="num" w:pos="5040"/>
        </w:tabs>
        <w:ind w:left="5040" w:hanging="360"/>
      </w:pPr>
      <w:rPr>
        <w:rFonts w:ascii="Symbol" w:hAnsi="Symbol" w:hint="default"/>
      </w:rPr>
    </w:lvl>
    <w:lvl w:ilvl="7" w:tplc="BFDCE9BA" w:tentative="1">
      <w:start w:val="1"/>
      <w:numFmt w:val="bullet"/>
      <w:lvlText w:val=""/>
      <w:lvlJc w:val="left"/>
      <w:pPr>
        <w:tabs>
          <w:tab w:val="num" w:pos="5760"/>
        </w:tabs>
        <w:ind w:left="5760" w:hanging="360"/>
      </w:pPr>
      <w:rPr>
        <w:rFonts w:ascii="Symbol" w:hAnsi="Symbol" w:hint="default"/>
      </w:rPr>
    </w:lvl>
    <w:lvl w:ilvl="8" w:tplc="2130AFC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EA6D5D"/>
    <w:multiLevelType w:val="hybridMultilevel"/>
    <w:tmpl w:val="A5CA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563"/>
    <w:multiLevelType w:val="hybridMultilevel"/>
    <w:tmpl w:val="E18C3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8C0F02"/>
    <w:multiLevelType w:val="hybridMultilevel"/>
    <w:tmpl w:val="D38E88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EE582E"/>
    <w:multiLevelType w:val="hybridMultilevel"/>
    <w:tmpl w:val="6F08FA70"/>
    <w:lvl w:ilvl="0" w:tplc="2FD4419E">
      <w:start w:val="1"/>
      <w:numFmt w:val="bullet"/>
      <w:lvlText w:val="•"/>
      <w:lvlJc w:val="left"/>
      <w:pPr>
        <w:tabs>
          <w:tab w:val="num" w:pos="720"/>
        </w:tabs>
        <w:ind w:left="720" w:hanging="360"/>
      </w:pPr>
      <w:rPr>
        <w:rFonts w:ascii="Arial" w:hAnsi="Arial" w:hint="default"/>
      </w:rPr>
    </w:lvl>
    <w:lvl w:ilvl="1" w:tplc="A4ACF362">
      <w:numFmt w:val="bullet"/>
      <w:lvlText w:val="•"/>
      <w:lvlJc w:val="left"/>
      <w:pPr>
        <w:tabs>
          <w:tab w:val="num" w:pos="1440"/>
        </w:tabs>
        <w:ind w:left="1440" w:hanging="360"/>
      </w:pPr>
      <w:rPr>
        <w:rFonts w:ascii="Arial" w:hAnsi="Arial" w:hint="default"/>
      </w:rPr>
    </w:lvl>
    <w:lvl w:ilvl="2" w:tplc="BEFEB6A2">
      <w:numFmt w:val="bullet"/>
      <w:lvlText w:val="•"/>
      <w:lvlJc w:val="left"/>
      <w:pPr>
        <w:tabs>
          <w:tab w:val="num" w:pos="2160"/>
        </w:tabs>
        <w:ind w:left="2160" w:hanging="360"/>
      </w:pPr>
      <w:rPr>
        <w:rFonts w:ascii="Microsoft Sans Serif" w:hAnsi="Microsoft Sans Serif" w:hint="default"/>
      </w:rPr>
    </w:lvl>
    <w:lvl w:ilvl="3" w:tplc="149CE380">
      <w:numFmt w:val="bullet"/>
      <w:lvlText w:val="•"/>
      <w:lvlJc w:val="left"/>
      <w:pPr>
        <w:tabs>
          <w:tab w:val="num" w:pos="2880"/>
        </w:tabs>
        <w:ind w:left="2880" w:hanging="360"/>
      </w:pPr>
      <w:rPr>
        <w:rFonts w:ascii="Arial" w:hAnsi="Arial" w:hint="default"/>
      </w:rPr>
    </w:lvl>
    <w:lvl w:ilvl="4" w:tplc="4296D956" w:tentative="1">
      <w:start w:val="1"/>
      <w:numFmt w:val="bullet"/>
      <w:lvlText w:val="•"/>
      <w:lvlJc w:val="left"/>
      <w:pPr>
        <w:tabs>
          <w:tab w:val="num" w:pos="3600"/>
        </w:tabs>
        <w:ind w:left="3600" w:hanging="360"/>
      </w:pPr>
      <w:rPr>
        <w:rFonts w:ascii="Arial" w:hAnsi="Arial" w:hint="default"/>
      </w:rPr>
    </w:lvl>
    <w:lvl w:ilvl="5" w:tplc="57246628" w:tentative="1">
      <w:start w:val="1"/>
      <w:numFmt w:val="bullet"/>
      <w:lvlText w:val="•"/>
      <w:lvlJc w:val="left"/>
      <w:pPr>
        <w:tabs>
          <w:tab w:val="num" w:pos="4320"/>
        </w:tabs>
        <w:ind w:left="4320" w:hanging="360"/>
      </w:pPr>
      <w:rPr>
        <w:rFonts w:ascii="Arial" w:hAnsi="Arial" w:hint="default"/>
      </w:rPr>
    </w:lvl>
    <w:lvl w:ilvl="6" w:tplc="751C1A60" w:tentative="1">
      <w:start w:val="1"/>
      <w:numFmt w:val="bullet"/>
      <w:lvlText w:val="•"/>
      <w:lvlJc w:val="left"/>
      <w:pPr>
        <w:tabs>
          <w:tab w:val="num" w:pos="5040"/>
        </w:tabs>
        <w:ind w:left="5040" w:hanging="360"/>
      </w:pPr>
      <w:rPr>
        <w:rFonts w:ascii="Arial" w:hAnsi="Arial" w:hint="default"/>
      </w:rPr>
    </w:lvl>
    <w:lvl w:ilvl="7" w:tplc="55F657D8" w:tentative="1">
      <w:start w:val="1"/>
      <w:numFmt w:val="bullet"/>
      <w:lvlText w:val="•"/>
      <w:lvlJc w:val="left"/>
      <w:pPr>
        <w:tabs>
          <w:tab w:val="num" w:pos="5760"/>
        </w:tabs>
        <w:ind w:left="5760" w:hanging="360"/>
      </w:pPr>
      <w:rPr>
        <w:rFonts w:ascii="Arial" w:hAnsi="Arial" w:hint="default"/>
      </w:rPr>
    </w:lvl>
    <w:lvl w:ilvl="8" w:tplc="87BCB7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7070F"/>
    <w:multiLevelType w:val="hybridMultilevel"/>
    <w:tmpl w:val="F9469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C70D95"/>
    <w:multiLevelType w:val="hybridMultilevel"/>
    <w:tmpl w:val="3CDE8D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963665F"/>
    <w:multiLevelType w:val="hybridMultilevel"/>
    <w:tmpl w:val="27041770"/>
    <w:lvl w:ilvl="0" w:tplc="8E0AB9A4">
      <w:start w:val="1"/>
      <w:numFmt w:val="bullet"/>
      <w:lvlText w:val=""/>
      <w:lvlJc w:val="left"/>
      <w:pPr>
        <w:tabs>
          <w:tab w:val="num" w:pos="720"/>
        </w:tabs>
        <w:ind w:left="720" w:hanging="360"/>
      </w:pPr>
      <w:rPr>
        <w:rFonts w:ascii="Symbol" w:hAnsi="Symbol" w:hint="default"/>
      </w:rPr>
    </w:lvl>
    <w:lvl w:ilvl="1" w:tplc="631469E8">
      <w:numFmt w:val="bullet"/>
      <w:lvlText w:val="o"/>
      <w:lvlJc w:val="left"/>
      <w:pPr>
        <w:tabs>
          <w:tab w:val="num" w:pos="1440"/>
        </w:tabs>
        <w:ind w:left="1440" w:hanging="360"/>
      </w:pPr>
      <w:rPr>
        <w:rFonts w:ascii="Courier New" w:hAnsi="Courier New" w:hint="default"/>
      </w:rPr>
    </w:lvl>
    <w:lvl w:ilvl="2" w:tplc="5FA49990">
      <w:numFmt w:val="bullet"/>
      <w:lvlText w:val=""/>
      <w:lvlJc w:val="left"/>
      <w:pPr>
        <w:tabs>
          <w:tab w:val="num" w:pos="2160"/>
        </w:tabs>
        <w:ind w:left="2160" w:hanging="360"/>
      </w:pPr>
      <w:rPr>
        <w:rFonts w:ascii="Wingdings" w:hAnsi="Wingdings" w:hint="default"/>
      </w:rPr>
    </w:lvl>
    <w:lvl w:ilvl="3" w:tplc="94DE963C">
      <w:numFmt w:val="bullet"/>
      <w:lvlText w:val=""/>
      <w:lvlJc w:val="left"/>
      <w:pPr>
        <w:tabs>
          <w:tab w:val="num" w:pos="2880"/>
        </w:tabs>
        <w:ind w:left="2880" w:hanging="360"/>
      </w:pPr>
      <w:rPr>
        <w:rFonts w:ascii="Symbol" w:hAnsi="Symbol" w:hint="default"/>
      </w:rPr>
    </w:lvl>
    <w:lvl w:ilvl="4" w:tplc="128CF3F6" w:tentative="1">
      <w:start w:val="1"/>
      <w:numFmt w:val="bullet"/>
      <w:lvlText w:val=""/>
      <w:lvlJc w:val="left"/>
      <w:pPr>
        <w:tabs>
          <w:tab w:val="num" w:pos="3600"/>
        </w:tabs>
        <w:ind w:left="3600" w:hanging="360"/>
      </w:pPr>
      <w:rPr>
        <w:rFonts w:ascii="Symbol" w:hAnsi="Symbol" w:hint="default"/>
      </w:rPr>
    </w:lvl>
    <w:lvl w:ilvl="5" w:tplc="DA62943E" w:tentative="1">
      <w:start w:val="1"/>
      <w:numFmt w:val="bullet"/>
      <w:lvlText w:val=""/>
      <w:lvlJc w:val="left"/>
      <w:pPr>
        <w:tabs>
          <w:tab w:val="num" w:pos="4320"/>
        </w:tabs>
        <w:ind w:left="4320" w:hanging="360"/>
      </w:pPr>
      <w:rPr>
        <w:rFonts w:ascii="Symbol" w:hAnsi="Symbol" w:hint="default"/>
      </w:rPr>
    </w:lvl>
    <w:lvl w:ilvl="6" w:tplc="B50069B2" w:tentative="1">
      <w:start w:val="1"/>
      <w:numFmt w:val="bullet"/>
      <w:lvlText w:val=""/>
      <w:lvlJc w:val="left"/>
      <w:pPr>
        <w:tabs>
          <w:tab w:val="num" w:pos="5040"/>
        </w:tabs>
        <w:ind w:left="5040" w:hanging="360"/>
      </w:pPr>
      <w:rPr>
        <w:rFonts w:ascii="Symbol" w:hAnsi="Symbol" w:hint="default"/>
      </w:rPr>
    </w:lvl>
    <w:lvl w:ilvl="7" w:tplc="6CE63B3E" w:tentative="1">
      <w:start w:val="1"/>
      <w:numFmt w:val="bullet"/>
      <w:lvlText w:val=""/>
      <w:lvlJc w:val="left"/>
      <w:pPr>
        <w:tabs>
          <w:tab w:val="num" w:pos="5760"/>
        </w:tabs>
        <w:ind w:left="5760" w:hanging="360"/>
      </w:pPr>
      <w:rPr>
        <w:rFonts w:ascii="Symbol" w:hAnsi="Symbol" w:hint="default"/>
      </w:rPr>
    </w:lvl>
    <w:lvl w:ilvl="8" w:tplc="17601C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360724">
    <w:abstractNumId w:val="10"/>
  </w:num>
  <w:num w:numId="2" w16cid:durableId="1870020987">
    <w:abstractNumId w:val="1"/>
  </w:num>
  <w:num w:numId="3" w16cid:durableId="1388383785">
    <w:abstractNumId w:val="11"/>
  </w:num>
  <w:num w:numId="4" w16cid:durableId="2035686086">
    <w:abstractNumId w:val="13"/>
  </w:num>
  <w:num w:numId="5" w16cid:durableId="22051809">
    <w:abstractNumId w:val="22"/>
  </w:num>
  <w:num w:numId="6" w16cid:durableId="133303979">
    <w:abstractNumId w:val="9"/>
  </w:num>
  <w:num w:numId="7" w16cid:durableId="33311435">
    <w:abstractNumId w:val="17"/>
  </w:num>
  <w:num w:numId="8" w16cid:durableId="1089086421">
    <w:abstractNumId w:val="25"/>
  </w:num>
  <w:num w:numId="9" w16cid:durableId="1074401253">
    <w:abstractNumId w:val="24"/>
  </w:num>
  <w:num w:numId="10" w16cid:durableId="521480573">
    <w:abstractNumId w:val="21"/>
  </w:num>
  <w:num w:numId="11" w16cid:durableId="1039744744">
    <w:abstractNumId w:val="3"/>
  </w:num>
  <w:num w:numId="12" w16cid:durableId="340087330">
    <w:abstractNumId w:val="23"/>
  </w:num>
  <w:num w:numId="13" w16cid:durableId="1897547035">
    <w:abstractNumId w:val="26"/>
  </w:num>
  <w:num w:numId="14" w16cid:durableId="1152142230">
    <w:abstractNumId w:val="20"/>
  </w:num>
  <w:num w:numId="15" w16cid:durableId="1027677466">
    <w:abstractNumId w:val="4"/>
  </w:num>
  <w:num w:numId="16" w16cid:durableId="555317557">
    <w:abstractNumId w:val="27"/>
  </w:num>
  <w:num w:numId="17" w16cid:durableId="319239622">
    <w:abstractNumId w:val="5"/>
  </w:num>
  <w:num w:numId="18" w16cid:durableId="718751681">
    <w:abstractNumId w:val="8"/>
  </w:num>
  <w:num w:numId="19" w16cid:durableId="1531334312">
    <w:abstractNumId w:val="7"/>
  </w:num>
  <w:num w:numId="20" w16cid:durableId="2004619773">
    <w:abstractNumId w:val="2"/>
  </w:num>
  <w:num w:numId="21" w16cid:durableId="1246257908">
    <w:abstractNumId w:val="15"/>
  </w:num>
  <w:num w:numId="22" w16cid:durableId="1776510636">
    <w:abstractNumId w:val="12"/>
  </w:num>
  <w:num w:numId="23" w16cid:durableId="1383018900">
    <w:abstractNumId w:val="6"/>
  </w:num>
  <w:num w:numId="24" w16cid:durableId="1969630371">
    <w:abstractNumId w:val="14"/>
  </w:num>
  <w:num w:numId="25" w16cid:durableId="1163274634">
    <w:abstractNumId w:val="16"/>
  </w:num>
  <w:num w:numId="26" w16cid:durableId="531915906">
    <w:abstractNumId w:val="19"/>
  </w:num>
  <w:num w:numId="27" w16cid:durableId="151022960">
    <w:abstractNumId w:val="18"/>
  </w:num>
  <w:num w:numId="28" w16cid:durableId="83522048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6E44"/>
    <w:rsid w:val="000279F4"/>
    <w:rsid w:val="00030B09"/>
    <w:rsid w:val="00032669"/>
    <w:rsid w:val="00032DAA"/>
    <w:rsid w:val="00033484"/>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AEF"/>
    <w:rsid w:val="00050DE1"/>
    <w:rsid w:val="000512BB"/>
    <w:rsid w:val="0005158C"/>
    <w:rsid w:val="00052300"/>
    <w:rsid w:val="0005305E"/>
    <w:rsid w:val="0005384D"/>
    <w:rsid w:val="0005470A"/>
    <w:rsid w:val="000562F6"/>
    <w:rsid w:val="000606E9"/>
    <w:rsid w:val="000612AF"/>
    <w:rsid w:val="00061307"/>
    <w:rsid w:val="0006136D"/>
    <w:rsid w:val="00061DFF"/>
    <w:rsid w:val="00062E20"/>
    <w:rsid w:val="00062F0D"/>
    <w:rsid w:val="00063163"/>
    <w:rsid w:val="000639E8"/>
    <w:rsid w:val="000656AF"/>
    <w:rsid w:val="00067513"/>
    <w:rsid w:val="000675AA"/>
    <w:rsid w:val="000675E4"/>
    <w:rsid w:val="000679BB"/>
    <w:rsid w:val="00067CB5"/>
    <w:rsid w:val="00071D30"/>
    <w:rsid w:val="000720C4"/>
    <w:rsid w:val="000729F8"/>
    <w:rsid w:val="00072D2F"/>
    <w:rsid w:val="00073883"/>
    <w:rsid w:val="00074F4A"/>
    <w:rsid w:val="00075492"/>
    <w:rsid w:val="00075923"/>
    <w:rsid w:val="00076CC4"/>
    <w:rsid w:val="00077EB3"/>
    <w:rsid w:val="00077FC1"/>
    <w:rsid w:val="0008069D"/>
    <w:rsid w:val="00081282"/>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CC8"/>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FA1"/>
    <w:rsid w:val="000B5F34"/>
    <w:rsid w:val="000B76D8"/>
    <w:rsid w:val="000C0C6D"/>
    <w:rsid w:val="000C0C86"/>
    <w:rsid w:val="000C2448"/>
    <w:rsid w:val="000C4A45"/>
    <w:rsid w:val="000C529A"/>
    <w:rsid w:val="000C5610"/>
    <w:rsid w:val="000C570A"/>
    <w:rsid w:val="000C678D"/>
    <w:rsid w:val="000C6B12"/>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9E4"/>
    <w:rsid w:val="000E6D4B"/>
    <w:rsid w:val="000E6E94"/>
    <w:rsid w:val="000E7763"/>
    <w:rsid w:val="000E7E69"/>
    <w:rsid w:val="000F0BF5"/>
    <w:rsid w:val="000F0D32"/>
    <w:rsid w:val="000F13AB"/>
    <w:rsid w:val="000F1EF6"/>
    <w:rsid w:val="000F2230"/>
    <w:rsid w:val="000F47BF"/>
    <w:rsid w:val="000F4E48"/>
    <w:rsid w:val="000F502F"/>
    <w:rsid w:val="000F519D"/>
    <w:rsid w:val="000F5839"/>
    <w:rsid w:val="000F65D1"/>
    <w:rsid w:val="000F6920"/>
    <w:rsid w:val="000F69BC"/>
    <w:rsid w:val="000F7529"/>
    <w:rsid w:val="000F7ECB"/>
    <w:rsid w:val="0010054D"/>
    <w:rsid w:val="00100A8C"/>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9D3"/>
    <w:rsid w:val="00131AFF"/>
    <w:rsid w:val="00131CF7"/>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8E"/>
    <w:rsid w:val="00150BB0"/>
    <w:rsid w:val="00150BE8"/>
    <w:rsid w:val="001512D7"/>
    <w:rsid w:val="00151542"/>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57AD"/>
    <w:rsid w:val="001777FA"/>
    <w:rsid w:val="001802C7"/>
    <w:rsid w:val="00182E6B"/>
    <w:rsid w:val="00183976"/>
    <w:rsid w:val="00183EAD"/>
    <w:rsid w:val="0018644C"/>
    <w:rsid w:val="0019036D"/>
    <w:rsid w:val="00190CAB"/>
    <w:rsid w:val="00190FFA"/>
    <w:rsid w:val="0019295E"/>
    <w:rsid w:val="00192F19"/>
    <w:rsid w:val="00194778"/>
    <w:rsid w:val="00195DB4"/>
    <w:rsid w:val="001966C3"/>
    <w:rsid w:val="00197078"/>
    <w:rsid w:val="00197BCB"/>
    <w:rsid w:val="001A0489"/>
    <w:rsid w:val="001A0EE5"/>
    <w:rsid w:val="001A180F"/>
    <w:rsid w:val="001A1CBF"/>
    <w:rsid w:val="001A1F0E"/>
    <w:rsid w:val="001A26F0"/>
    <w:rsid w:val="001A3B15"/>
    <w:rsid w:val="001A4F4F"/>
    <w:rsid w:val="001A5F89"/>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4702"/>
    <w:rsid w:val="001C5501"/>
    <w:rsid w:val="001C7FA6"/>
    <w:rsid w:val="001D18F3"/>
    <w:rsid w:val="001D3322"/>
    <w:rsid w:val="001D33F4"/>
    <w:rsid w:val="001D34FA"/>
    <w:rsid w:val="001D3AAA"/>
    <w:rsid w:val="001D3AB9"/>
    <w:rsid w:val="001D4399"/>
    <w:rsid w:val="001D59EB"/>
    <w:rsid w:val="001D6888"/>
    <w:rsid w:val="001D77CD"/>
    <w:rsid w:val="001D7B4C"/>
    <w:rsid w:val="001E003B"/>
    <w:rsid w:val="001E0408"/>
    <w:rsid w:val="001E0535"/>
    <w:rsid w:val="001E1E2E"/>
    <w:rsid w:val="001E425B"/>
    <w:rsid w:val="001E4305"/>
    <w:rsid w:val="001E4FA5"/>
    <w:rsid w:val="001E5436"/>
    <w:rsid w:val="001E606D"/>
    <w:rsid w:val="001E6319"/>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1038D"/>
    <w:rsid w:val="00210637"/>
    <w:rsid w:val="0021198D"/>
    <w:rsid w:val="00211F64"/>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4935"/>
    <w:rsid w:val="0023571C"/>
    <w:rsid w:val="00235EE7"/>
    <w:rsid w:val="0023701E"/>
    <w:rsid w:val="00237CF2"/>
    <w:rsid w:val="0024083E"/>
    <w:rsid w:val="002409AA"/>
    <w:rsid w:val="00240F55"/>
    <w:rsid w:val="002414AB"/>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A31"/>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813"/>
    <w:rsid w:val="002A0385"/>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538F"/>
    <w:rsid w:val="002B5C0E"/>
    <w:rsid w:val="002B5D34"/>
    <w:rsid w:val="002B6729"/>
    <w:rsid w:val="002B76BD"/>
    <w:rsid w:val="002B78CF"/>
    <w:rsid w:val="002B7F22"/>
    <w:rsid w:val="002C0DDC"/>
    <w:rsid w:val="002C15F1"/>
    <w:rsid w:val="002C2394"/>
    <w:rsid w:val="002C2E81"/>
    <w:rsid w:val="002C3AA1"/>
    <w:rsid w:val="002C3CA7"/>
    <w:rsid w:val="002C43A7"/>
    <w:rsid w:val="002C5143"/>
    <w:rsid w:val="002C550A"/>
    <w:rsid w:val="002C5A4B"/>
    <w:rsid w:val="002C5CE6"/>
    <w:rsid w:val="002C6127"/>
    <w:rsid w:val="002C65B6"/>
    <w:rsid w:val="002D084E"/>
    <w:rsid w:val="002D08AB"/>
    <w:rsid w:val="002D10A7"/>
    <w:rsid w:val="002D177B"/>
    <w:rsid w:val="002D2BA7"/>
    <w:rsid w:val="002D4505"/>
    <w:rsid w:val="002D4CC7"/>
    <w:rsid w:val="002D4FBE"/>
    <w:rsid w:val="002D548B"/>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2F6EF5"/>
    <w:rsid w:val="003000CC"/>
    <w:rsid w:val="00300510"/>
    <w:rsid w:val="00300B85"/>
    <w:rsid w:val="00300C6E"/>
    <w:rsid w:val="00300EE9"/>
    <w:rsid w:val="00302029"/>
    <w:rsid w:val="00302386"/>
    <w:rsid w:val="003026B7"/>
    <w:rsid w:val="00302E72"/>
    <w:rsid w:val="00303685"/>
    <w:rsid w:val="00305EFE"/>
    <w:rsid w:val="00306902"/>
    <w:rsid w:val="0030700B"/>
    <w:rsid w:val="0030770F"/>
    <w:rsid w:val="003078DA"/>
    <w:rsid w:val="003103F9"/>
    <w:rsid w:val="0031113C"/>
    <w:rsid w:val="003113E7"/>
    <w:rsid w:val="00312D1B"/>
    <w:rsid w:val="003159FF"/>
    <w:rsid w:val="00315FCE"/>
    <w:rsid w:val="003166CB"/>
    <w:rsid w:val="00316861"/>
    <w:rsid w:val="00317A3B"/>
    <w:rsid w:val="003201DB"/>
    <w:rsid w:val="003206DF"/>
    <w:rsid w:val="0032077A"/>
    <w:rsid w:val="00320919"/>
    <w:rsid w:val="00320BE4"/>
    <w:rsid w:val="0032360B"/>
    <w:rsid w:val="00323647"/>
    <w:rsid w:val="003238AD"/>
    <w:rsid w:val="00323D9D"/>
    <w:rsid w:val="00324198"/>
    <w:rsid w:val="00324260"/>
    <w:rsid w:val="00324D06"/>
    <w:rsid w:val="003250AD"/>
    <w:rsid w:val="00325B49"/>
    <w:rsid w:val="003262B5"/>
    <w:rsid w:val="00326AA4"/>
    <w:rsid w:val="003270EE"/>
    <w:rsid w:val="00330265"/>
    <w:rsid w:val="00330FB1"/>
    <w:rsid w:val="003310C7"/>
    <w:rsid w:val="0033135C"/>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05"/>
    <w:rsid w:val="00366F54"/>
    <w:rsid w:val="0036768B"/>
    <w:rsid w:val="00367B3C"/>
    <w:rsid w:val="003727D5"/>
    <w:rsid w:val="003746FE"/>
    <w:rsid w:val="00375AA5"/>
    <w:rsid w:val="00376A9E"/>
    <w:rsid w:val="00377E88"/>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A27"/>
    <w:rsid w:val="003A3B8E"/>
    <w:rsid w:val="003A43B2"/>
    <w:rsid w:val="003A4B8A"/>
    <w:rsid w:val="003A4CD3"/>
    <w:rsid w:val="003A50DA"/>
    <w:rsid w:val="003A64B0"/>
    <w:rsid w:val="003A764A"/>
    <w:rsid w:val="003B0446"/>
    <w:rsid w:val="003B112E"/>
    <w:rsid w:val="003B1188"/>
    <w:rsid w:val="003B14C7"/>
    <w:rsid w:val="003B1580"/>
    <w:rsid w:val="003B24BF"/>
    <w:rsid w:val="003B3BD2"/>
    <w:rsid w:val="003B439A"/>
    <w:rsid w:val="003B4BF2"/>
    <w:rsid w:val="003B5565"/>
    <w:rsid w:val="003B5BDB"/>
    <w:rsid w:val="003B67D9"/>
    <w:rsid w:val="003B6F17"/>
    <w:rsid w:val="003B7DF7"/>
    <w:rsid w:val="003C04F9"/>
    <w:rsid w:val="003C0C19"/>
    <w:rsid w:val="003C0F31"/>
    <w:rsid w:val="003C1262"/>
    <w:rsid w:val="003C1297"/>
    <w:rsid w:val="003C1DD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2F29"/>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6145"/>
    <w:rsid w:val="004064D5"/>
    <w:rsid w:val="004064E4"/>
    <w:rsid w:val="004069CE"/>
    <w:rsid w:val="00407631"/>
    <w:rsid w:val="0041164F"/>
    <w:rsid w:val="004121D4"/>
    <w:rsid w:val="00412315"/>
    <w:rsid w:val="004127B2"/>
    <w:rsid w:val="00412C22"/>
    <w:rsid w:val="0041301F"/>
    <w:rsid w:val="0041483A"/>
    <w:rsid w:val="004149F8"/>
    <w:rsid w:val="00414CE5"/>
    <w:rsid w:val="00414F76"/>
    <w:rsid w:val="004162CD"/>
    <w:rsid w:val="0041759A"/>
    <w:rsid w:val="00417644"/>
    <w:rsid w:val="004203C3"/>
    <w:rsid w:val="00420E9D"/>
    <w:rsid w:val="00421F7D"/>
    <w:rsid w:val="0042216D"/>
    <w:rsid w:val="00422B99"/>
    <w:rsid w:val="00422EA5"/>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0BA7"/>
    <w:rsid w:val="00452FED"/>
    <w:rsid w:val="00453BD8"/>
    <w:rsid w:val="00453D36"/>
    <w:rsid w:val="004541E5"/>
    <w:rsid w:val="0045428D"/>
    <w:rsid w:val="004544D6"/>
    <w:rsid w:val="00454640"/>
    <w:rsid w:val="00455618"/>
    <w:rsid w:val="004563EB"/>
    <w:rsid w:val="00456532"/>
    <w:rsid w:val="00457F94"/>
    <w:rsid w:val="004609D7"/>
    <w:rsid w:val="00461C87"/>
    <w:rsid w:val="00461D8F"/>
    <w:rsid w:val="00461EFD"/>
    <w:rsid w:val="00462017"/>
    <w:rsid w:val="0046237A"/>
    <w:rsid w:val="00462A84"/>
    <w:rsid w:val="00462BD0"/>
    <w:rsid w:val="00463128"/>
    <w:rsid w:val="00463C01"/>
    <w:rsid w:val="004640A8"/>
    <w:rsid w:val="004644F2"/>
    <w:rsid w:val="00464FBA"/>
    <w:rsid w:val="00466083"/>
    <w:rsid w:val="00466C24"/>
    <w:rsid w:val="00466C38"/>
    <w:rsid w:val="00466FDB"/>
    <w:rsid w:val="00467012"/>
    <w:rsid w:val="004673F2"/>
    <w:rsid w:val="004705F8"/>
    <w:rsid w:val="00471085"/>
    <w:rsid w:val="00471253"/>
    <w:rsid w:val="00471370"/>
    <w:rsid w:val="0047488B"/>
    <w:rsid w:val="00474FE5"/>
    <w:rsid w:val="004753FB"/>
    <w:rsid w:val="0047555C"/>
    <w:rsid w:val="00476AA3"/>
    <w:rsid w:val="00476B05"/>
    <w:rsid w:val="00480558"/>
    <w:rsid w:val="00480D4E"/>
    <w:rsid w:val="004810F4"/>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6F77"/>
    <w:rsid w:val="00496FBC"/>
    <w:rsid w:val="004972C2"/>
    <w:rsid w:val="004976DB"/>
    <w:rsid w:val="004A07E4"/>
    <w:rsid w:val="004A12D8"/>
    <w:rsid w:val="004A25E2"/>
    <w:rsid w:val="004A3685"/>
    <w:rsid w:val="004A3765"/>
    <w:rsid w:val="004A572B"/>
    <w:rsid w:val="004A5920"/>
    <w:rsid w:val="004A5D39"/>
    <w:rsid w:val="004A6DFB"/>
    <w:rsid w:val="004A7D21"/>
    <w:rsid w:val="004B36BB"/>
    <w:rsid w:val="004B38D3"/>
    <w:rsid w:val="004B3C3B"/>
    <w:rsid w:val="004B3FC9"/>
    <w:rsid w:val="004B5A19"/>
    <w:rsid w:val="004B7A3F"/>
    <w:rsid w:val="004B7EC4"/>
    <w:rsid w:val="004C05E4"/>
    <w:rsid w:val="004C0CED"/>
    <w:rsid w:val="004C108D"/>
    <w:rsid w:val="004C13E8"/>
    <w:rsid w:val="004C1484"/>
    <w:rsid w:val="004C198D"/>
    <w:rsid w:val="004C1A68"/>
    <w:rsid w:val="004C1DE2"/>
    <w:rsid w:val="004C22E6"/>
    <w:rsid w:val="004C29B9"/>
    <w:rsid w:val="004C31AB"/>
    <w:rsid w:val="004C32AA"/>
    <w:rsid w:val="004C371A"/>
    <w:rsid w:val="004C38FC"/>
    <w:rsid w:val="004C43F6"/>
    <w:rsid w:val="004C4D50"/>
    <w:rsid w:val="004C5497"/>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43C9"/>
    <w:rsid w:val="004D5024"/>
    <w:rsid w:val="004D5395"/>
    <w:rsid w:val="004D59D7"/>
    <w:rsid w:val="004D5A8A"/>
    <w:rsid w:val="004E2381"/>
    <w:rsid w:val="004E290C"/>
    <w:rsid w:val="004E3416"/>
    <w:rsid w:val="004E34E5"/>
    <w:rsid w:val="004E4273"/>
    <w:rsid w:val="004E53BF"/>
    <w:rsid w:val="004E5FA8"/>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5A2"/>
    <w:rsid w:val="00515E30"/>
    <w:rsid w:val="005161F8"/>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F9D"/>
    <w:rsid w:val="005341AC"/>
    <w:rsid w:val="00534C0E"/>
    <w:rsid w:val="005359FD"/>
    <w:rsid w:val="00536405"/>
    <w:rsid w:val="00537C27"/>
    <w:rsid w:val="00540001"/>
    <w:rsid w:val="0054062E"/>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4251"/>
    <w:rsid w:val="00565544"/>
    <w:rsid w:val="00565ACB"/>
    <w:rsid w:val="005677F2"/>
    <w:rsid w:val="005702EF"/>
    <w:rsid w:val="0057082E"/>
    <w:rsid w:val="00570A0B"/>
    <w:rsid w:val="0057134E"/>
    <w:rsid w:val="0057173E"/>
    <w:rsid w:val="00572A73"/>
    <w:rsid w:val="00572F67"/>
    <w:rsid w:val="00573568"/>
    <w:rsid w:val="00573826"/>
    <w:rsid w:val="00573D51"/>
    <w:rsid w:val="005747DD"/>
    <w:rsid w:val="00575AB9"/>
    <w:rsid w:val="00575DE7"/>
    <w:rsid w:val="005770CE"/>
    <w:rsid w:val="00577621"/>
    <w:rsid w:val="00577ABF"/>
    <w:rsid w:val="00580C2B"/>
    <w:rsid w:val="005839AE"/>
    <w:rsid w:val="005840FA"/>
    <w:rsid w:val="005842F3"/>
    <w:rsid w:val="00585B1B"/>
    <w:rsid w:val="00585C9B"/>
    <w:rsid w:val="005904FD"/>
    <w:rsid w:val="0059063F"/>
    <w:rsid w:val="00590802"/>
    <w:rsid w:val="00590F86"/>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173"/>
    <w:rsid w:val="005E1DB3"/>
    <w:rsid w:val="005E2B0B"/>
    <w:rsid w:val="005E2CFF"/>
    <w:rsid w:val="005E2F55"/>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D34"/>
    <w:rsid w:val="006056C1"/>
    <w:rsid w:val="00606370"/>
    <w:rsid w:val="00606A5C"/>
    <w:rsid w:val="00606C58"/>
    <w:rsid w:val="00606D16"/>
    <w:rsid w:val="00606ECD"/>
    <w:rsid w:val="00611479"/>
    <w:rsid w:val="00611926"/>
    <w:rsid w:val="00611F80"/>
    <w:rsid w:val="00613204"/>
    <w:rsid w:val="006145D5"/>
    <w:rsid w:val="006149CC"/>
    <w:rsid w:val="00614B78"/>
    <w:rsid w:val="006150F6"/>
    <w:rsid w:val="00615ABA"/>
    <w:rsid w:val="00616060"/>
    <w:rsid w:val="006174E4"/>
    <w:rsid w:val="0061777F"/>
    <w:rsid w:val="00617AE5"/>
    <w:rsid w:val="00617E72"/>
    <w:rsid w:val="00621A1A"/>
    <w:rsid w:val="00622CA1"/>
    <w:rsid w:val="00626B3B"/>
    <w:rsid w:val="00626E08"/>
    <w:rsid w:val="006270FD"/>
    <w:rsid w:val="0062753C"/>
    <w:rsid w:val="00627E19"/>
    <w:rsid w:val="00630255"/>
    <w:rsid w:val="0063129C"/>
    <w:rsid w:val="00632275"/>
    <w:rsid w:val="0063345B"/>
    <w:rsid w:val="00633B63"/>
    <w:rsid w:val="006340E0"/>
    <w:rsid w:val="006342AC"/>
    <w:rsid w:val="0063459D"/>
    <w:rsid w:val="006352DC"/>
    <w:rsid w:val="00636434"/>
    <w:rsid w:val="006364F6"/>
    <w:rsid w:val="00640C7F"/>
    <w:rsid w:val="0064347C"/>
    <w:rsid w:val="00643D70"/>
    <w:rsid w:val="00645CE8"/>
    <w:rsid w:val="006506EA"/>
    <w:rsid w:val="00652416"/>
    <w:rsid w:val="00653601"/>
    <w:rsid w:val="00653D52"/>
    <w:rsid w:val="00653ED2"/>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0F22"/>
    <w:rsid w:val="00681592"/>
    <w:rsid w:val="00681A4D"/>
    <w:rsid w:val="00681FA7"/>
    <w:rsid w:val="006834CE"/>
    <w:rsid w:val="006838F6"/>
    <w:rsid w:val="00684E32"/>
    <w:rsid w:val="00685CEC"/>
    <w:rsid w:val="0068626B"/>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794"/>
    <w:rsid w:val="006B1B10"/>
    <w:rsid w:val="006B28E6"/>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4869"/>
    <w:rsid w:val="006C5053"/>
    <w:rsid w:val="006C5806"/>
    <w:rsid w:val="006C64A7"/>
    <w:rsid w:val="006C65AE"/>
    <w:rsid w:val="006C6A25"/>
    <w:rsid w:val="006C70A4"/>
    <w:rsid w:val="006D105A"/>
    <w:rsid w:val="006D1B20"/>
    <w:rsid w:val="006D1E80"/>
    <w:rsid w:val="006D1FC5"/>
    <w:rsid w:val="006D2134"/>
    <w:rsid w:val="006D244C"/>
    <w:rsid w:val="006D2592"/>
    <w:rsid w:val="006D2EBD"/>
    <w:rsid w:val="006D35B7"/>
    <w:rsid w:val="006D3C3F"/>
    <w:rsid w:val="006D3FCB"/>
    <w:rsid w:val="006D455E"/>
    <w:rsid w:val="006D459A"/>
    <w:rsid w:val="006D58D3"/>
    <w:rsid w:val="006D5E7B"/>
    <w:rsid w:val="006D6146"/>
    <w:rsid w:val="006D7134"/>
    <w:rsid w:val="006E0A82"/>
    <w:rsid w:val="006E0EEE"/>
    <w:rsid w:val="006E274D"/>
    <w:rsid w:val="006E2FE4"/>
    <w:rsid w:val="006E3ECC"/>
    <w:rsid w:val="006E46C6"/>
    <w:rsid w:val="006E52B9"/>
    <w:rsid w:val="006E5D06"/>
    <w:rsid w:val="006E5F95"/>
    <w:rsid w:val="006E71DD"/>
    <w:rsid w:val="006F19EE"/>
    <w:rsid w:val="006F212C"/>
    <w:rsid w:val="006F2300"/>
    <w:rsid w:val="006F3BCF"/>
    <w:rsid w:val="006F506B"/>
    <w:rsid w:val="006F56E1"/>
    <w:rsid w:val="006F6E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A5F"/>
    <w:rsid w:val="00717E0B"/>
    <w:rsid w:val="00720555"/>
    <w:rsid w:val="00721444"/>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2FC"/>
    <w:rsid w:val="0073263E"/>
    <w:rsid w:val="0073309A"/>
    <w:rsid w:val="00733292"/>
    <w:rsid w:val="00733CD6"/>
    <w:rsid w:val="00734D31"/>
    <w:rsid w:val="007367E0"/>
    <w:rsid w:val="00740BFE"/>
    <w:rsid w:val="007419E4"/>
    <w:rsid w:val="00743CE5"/>
    <w:rsid w:val="007447BA"/>
    <w:rsid w:val="007450CE"/>
    <w:rsid w:val="00745AE5"/>
    <w:rsid w:val="00745B82"/>
    <w:rsid w:val="00746AAC"/>
    <w:rsid w:val="00746CA1"/>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E61"/>
    <w:rsid w:val="00757E96"/>
    <w:rsid w:val="007600C8"/>
    <w:rsid w:val="00761D3D"/>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B1B"/>
    <w:rsid w:val="00785FF1"/>
    <w:rsid w:val="00787C28"/>
    <w:rsid w:val="00787F8A"/>
    <w:rsid w:val="007904FB"/>
    <w:rsid w:val="00790EF0"/>
    <w:rsid w:val="00791A21"/>
    <w:rsid w:val="00791CE3"/>
    <w:rsid w:val="00791EB9"/>
    <w:rsid w:val="00792165"/>
    <w:rsid w:val="00792730"/>
    <w:rsid w:val="00792A04"/>
    <w:rsid w:val="00795318"/>
    <w:rsid w:val="00795AC4"/>
    <w:rsid w:val="007966C0"/>
    <w:rsid w:val="00796E4F"/>
    <w:rsid w:val="00796E7A"/>
    <w:rsid w:val="007A0973"/>
    <w:rsid w:val="007A1A88"/>
    <w:rsid w:val="007A1E58"/>
    <w:rsid w:val="007A2569"/>
    <w:rsid w:val="007A285A"/>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0CAB"/>
    <w:rsid w:val="007B13F9"/>
    <w:rsid w:val="007B2F5D"/>
    <w:rsid w:val="007B32B8"/>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15E7"/>
    <w:rsid w:val="007D342A"/>
    <w:rsid w:val="007D5CB7"/>
    <w:rsid w:val="007D7088"/>
    <w:rsid w:val="007D7B1C"/>
    <w:rsid w:val="007D7CD0"/>
    <w:rsid w:val="007D7CF1"/>
    <w:rsid w:val="007D7F6F"/>
    <w:rsid w:val="007E144C"/>
    <w:rsid w:val="007E1FC5"/>
    <w:rsid w:val="007E2403"/>
    <w:rsid w:val="007E2600"/>
    <w:rsid w:val="007E3C29"/>
    <w:rsid w:val="007E42AC"/>
    <w:rsid w:val="007E48FF"/>
    <w:rsid w:val="007E4C5F"/>
    <w:rsid w:val="007E62D2"/>
    <w:rsid w:val="007E62DA"/>
    <w:rsid w:val="007E65DA"/>
    <w:rsid w:val="007E6D5D"/>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0737"/>
    <w:rsid w:val="00811004"/>
    <w:rsid w:val="008116BB"/>
    <w:rsid w:val="00811A12"/>
    <w:rsid w:val="00812D27"/>
    <w:rsid w:val="00812EA5"/>
    <w:rsid w:val="008137EA"/>
    <w:rsid w:val="008138B1"/>
    <w:rsid w:val="00813F5A"/>
    <w:rsid w:val="00814C4F"/>
    <w:rsid w:val="00815142"/>
    <w:rsid w:val="00816337"/>
    <w:rsid w:val="00817122"/>
    <w:rsid w:val="0082098A"/>
    <w:rsid w:val="00820E1E"/>
    <w:rsid w:val="00821131"/>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92E"/>
    <w:rsid w:val="00862FC4"/>
    <w:rsid w:val="00867969"/>
    <w:rsid w:val="00867D9A"/>
    <w:rsid w:val="00867F76"/>
    <w:rsid w:val="00870B37"/>
    <w:rsid w:val="0087210A"/>
    <w:rsid w:val="008722D9"/>
    <w:rsid w:val="008729CB"/>
    <w:rsid w:val="0087312A"/>
    <w:rsid w:val="0087313D"/>
    <w:rsid w:val="0087472C"/>
    <w:rsid w:val="0087726B"/>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76DB"/>
    <w:rsid w:val="0089777B"/>
    <w:rsid w:val="00897A4D"/>
    <w:rsid w:val="008A0359"/>
    <w:rsid w:val="008A08CC"/>
    <w:rsid w:val="008A0DFB"/>
    <w:rsid w:val="008A2DB3"/>
    <w:rsid w:val="008A3F7D"/>
    <w:rsid w:val="008A4C1E"/>
    <w:rsid w:val="008A5833"/>
    <w:rsid w:val="008A67AA"/>
    <w:rsid w:val="008A7D81"/>
    <w:rsid w:val="008B0C82"/>
    <w:rsid w:val="008B13C1"/>
    <w:rsid w:val="008B2EDB"/>
    <w:rsid w:val="008B4E7C"/>
    <w:rsid w:val="008B5408"/>
    <w:rsid w:val="008B595F"/>
    <w:rsid w:val="008B5B7D"/>
    <w:rsid w:val="008B7136"/>
    <w:rsid w:val="008C028D"/>
    <w:rsid w:val="008C07B6"/>
    <w:rsid w:val="008C1BA1"/>
    <w:rsid w:val="008C24C3"/>
    <w:rsid w:val="008C32C9"/>
    <w:rsid w:val="008C48DA"/>
    <w:rsid w:val="008C62CC"/>
    <w:rsid w:val="008C6973"/>
    <w:rsid w:val="008C76D7"/>
    <w:rsid w:val="008D0567"/>
    <w:rsid w:val="008D0925"/>
    <w:rsid w:val="008D228D"/>
    <w:rsid w:val="008D2DC0"/>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3B3"/>
    <w:rsid w:val="008F1ABA"/>
    <w:rsid w:val="008F275B"/>
    <w:rsid w:val="008F2F1E"/>
    <w:rsid w:val="008F302B"/>
    <w:rsid w:val="008F3089"/>
    <w:rsid w:val="008F3EA8"/>
    <w:rsid w:val="008F6052"/>
    <w:rsid w:val="008F63B0"/>
    <w:rsid w:val="008F6BF8"/>
    <w:rsid w:val="008F6D84"/>
    <w:rsid w:val="008F6DC6"/>
    <w:rsid w:val="008F7304"/>
    <w:rsid w:val="008F7553"/>
    <w:rsid w:val="008F7CC2"/>
    <w:rsid w:val="00900A12"/>
    <w:rsid w:val="00900B62"/>
    <w:rsid w:val="00901EB7"/>
    <w:rsid w:val="00902306"/>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F6D"/>
    <w:rsid w:val="009236DA"/>
    <w:rsid w:val="00924119"/>
    <w:rsid w:val="00924B74"/>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1D4"/>
    <w:rsid w:val="0094786A"/>
    <w:rsid w:val="00950FC0"/>
    <w:rsid w:val="00951376"/>
    <w:rsid w:val="009518A0"/>
    <w:rsid w:val="00951BB0"/>
    <w:rsid w:val="00952C01"/>
    <w:rsid w:val="009536E8"/>
    <w:rsid w:val="00953C37"/>
    <w:rsid w:val="0095435E"/>
    <w:rsid w:val="00954D53"/>
    <w:rsid w:val="00954F2A"/>
    <w:rsid w:val="00955DA2"/>
    <w:rsid w:val="00956866"/>
    <w:rsid w:val="009603DB"/>
    <w:rsid w:val="0096054F"/>
    <w:rsid w:val="009616A1"/>
    <w:rsid w:val="00961AD5"/>
    <w:rsid w:val="00962566"/>
    <w:rsid w:val="009625CA"/>
    <w:rsid w:val="0096356A"/>
    <w:rsid w:val="00964687"/>
    <w:rsid w:val="00966201"/>
    <w:rsid w:val="00966838"/>
    <w:rsid w:val="009670A1"/>
    <w:rsid w:val="009673C2"/>
    <w:rsid w:val="00970100"/>
    <w:rsid w:val="00970373"/>
    <w:rsid w:val="00971301"/>
    <w:rsid w:val="0097130C"/>
    <w:rsid w:val="00971522"/>
    <w:rsid w:val="0097201B"/>
    <w:rsid w:val="009727AE"/>
    <w:rsid w:val="00973D54"/>
    <w:rsid w:val="00973EF3"/>
    <w:rsid w:val="00974D78"/>
    <w:rsid w:val="0097566C"/>
    <w:rsid w:val="00975E7D"/>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7B2"/>
    <w:rsid w:val="009A48C6"/>
    <w:rsid w:val="009A4ABF"/>
    <w:rsid w:val="009A4ADA"/>
    <w:rsid w:val="009A7831"/>
    <w:rsid w:val="009A786B"/>
    <w:rsid w:val="009A7F59"/>
    <w:rsid w:val="009B0424"/>
    <w:rsid w:val="009B0B8F"/>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E55"/>
    <w:rsid w:val="009C3C2C"/>
    <w:rsid w:val="009C3EA4"/>
    <w:rsid w:val="009C417A"/>
    <w:rsid w:val="009C4849"/>
    <w:rsid w:val="009C5683"/>
    <w:rsid w:val="009C67B0"/>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1D1"/>
    <w:rsid w:val="009E08C2"/>
    <w:rsid w:val="009E0D29"/>
    <w:rsid w:val="009E12FD"/>
    <w:rsid w:val="009E2BFD"/>
    <w:rsid w:val="009E37DA"/>
    <w:rsid w:val="009E3A0F"/>
    <w:rsid w:val="009E3D4B"/>
    <w:rsid w:val="009E428B"/>
    <w:rsid w:val="009E4539"/>
    <w:rsid w:val="009E4D21"/>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2534"/>
    <w:rsid w:val="00A03F91"/>
    <w:rsid w:val="00A04AD6"/>
    <w:rsid w:val="00A04BAA"/>
    <w:rsid w:val="00A04C09"/>
    <w:rsid w:val="00A04D82"/>
    <w:rsid w:val="00A04F2A"/>
    <w:rsid w:val="00A0540E"/>
    <w:rsid w:val="00A05AF6"/>
    <w:rsid w:val="00A05B78"/>
    <w:rsid w:val="00A06240"/>
    <w:rsid w:val="00A06C45"/>
    <w:rsid w:val="00A0719A"/>
    <w:rsid w:val="00A07322"/>
    <w:rsid w:val="00A10CA1"/>
    <w:rsid w:val="00A11479"/>
    <w:rsid w:val="00A11A7B"/>
    <w:rsid w:val="00A122B0"/>
    <w:rsid w:val="00A12A4C"/>
    <w:rsid w:val="00A12DF2"/>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AC3"/>
    <w:rsid w:val="00A17B6A"/>
    <w:rsid w:val="00A17B98"/>
    <w:rsid w:val="00A17D67"/>
    <w:rsid w:val="00A2090F"/>
    <w:rsid w:val="00A221E7"/>
    <w:rsid w:val="00A22497"/>
    <w:rsid w:val="00A22759"/>
    <w:rsid w:val="00A22991"/>
    <w:rsid w:val="00A22E71"/>
    <w:rsid w:val="00A22F98"/>
    <w:rsid w:val="00A23B3D"/>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60AE3"/>
    <w:rsid w:val="00A60E3E"/>
    <w:rsid w:val="00A62F17"/>
    <w:rsid w:val="00A63782"/>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518"/>
    <w:rsid w:val="00AE7E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041"/>
    <w:rsid w:val="00B173F6"/>
    <w:rsid w:val="00B175A9"/>
    <w:rsid w:val="00B179FC"/>
    <w:rsid w:val="00B20098"/>
    <w:rsid w:val="00B20A3F"/>
    <w:rsid w:val="00B20E51"/>
    <w:rsid w:val="00B22B51"/>
    <w:rsid w:val="00B23705"/>
    <w:rsid w:val="00B237D3"/>
    <w:rsid w:val="00B24624"/>
    <w:rsid w:val="00B258BC"/>
    <w:rsid w:val="00B259A4"/>
    <w:rsid w:val="00B25EE3"/>
    <w:rsid w:val="00B26086"/>
    <w:rsid w:val="00B261C1"/>
    <w:rsid w:val="00B262C8"/>
    <w:rsid w:val="00B26708"/>
    <w:rsid w:val="00B26F2F"/>
    <w:rsid w:val="00B27801"/>
    <w:rsid w:val="00B27CFD"/>
    <w:rsid w:val="00B3025D"/>
    <w:rsid w:val="00B30720"/>
    <w:rsid w:val="00B30E9F"/>
    <w:rsid w:val="00B31033"/>
    <w:rsid w:val="00B31916"/>
    <w:rsid w:val="00B324BE"/>
    <w:rsid w:val="00B3288E"/>
    <w:rsid w:val="00B32E43"/>
    <w:rsid w:val="00B33522"/>
    <w:rsid w:val="00B336DA"/>
    <w:rsid w:val="00B34633"/>
    <w:rsid w:val="00B34999"/>
    <w:rsid w:val="00B35FD4"/>
    <w:rsid w:val="00B36835"/>
    <w:rsid w:val="00B36DB0"/>
    <w:rsid w:val="00B3741F"/>
    <w:rsid w:val="00B4058E"/>
    <w:rsid w:val="00B405C0"/>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98"/>
    <w:rsid w:val="00B767AF"/>
    <w:rsid w:val="00B7717B"/>
    <w:rsid w:val="00B77567"/>
    <w:rsid w:val="00B81F12"/>
    <w:rsid w:val="00B83585"/>
    <w:rsid w:val="00B85196"/>
    <w:rsid w:val="00B873F5"/>
    <w:rsid w:val="00B87FB7"/>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15F8"/>
    <w:rsid w:val="00BD2997"/>
    <w:rsid w:val="00BD29A4"/>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5C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055"/>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F36"/>
    <w:rsid w:val="00C31B92"/>
    <w:rsid w:val="00C31DE9"/>
    <w:rsid w:val="00C32014"/>
    <w:rsid w:val="00C32114"/>
    <w:rsid w:val="00C334EC"/>
    <w:rsid w:val="00C341B6"/>
    <w:rsid w:val="00C345B1"/>
    <w:rsid w:val="00C34C56"/>
    <w:rsid w:val="00C3557A"/>
    <w:rsid w:val="00C35CDD"/>
    <w:rsid w:val="00C36863"/>
    <w:rsid w:val="00C36B25"/>
    <w:rsid w:val="00C36B5C"/>
    <w:rsid w:val="00C43134"/>
    <w:rsid w:val="00C44732"/>
    <w:rsid w:val="00C45FFE"/>
    <w:rsid w:val="00C464BB"/>
    <w:rsid w:val="00C46617"/>
    <w:rsid w:val="00C50578"/>
    <w:rsid w:val="00C51D0C"/>
    <w:rsid w:val="00C51D9C"/>
    <w:rsid w:val="00C53185"/>
    <w:rsid w:val="00C55654"/>
    <w:rsid w:val="00C5576E"/>
    <w:rsid w:val="00C55E12"/>
    <w:rsid w:val="00C55FB5"/>
    <w:rsid w:val="00C56833"/>
    <w:rsid w:val="00C57993"/>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E0F"/>
    <w:rsid w:val="00C73F63"/>
    <w:rsid w:val="00C7440A"/>
    <w:rsid w:val="00C762BE"/>
    <w:rsid w:val="00C767E8"/>
    <w:rsid w:val="00C82F6C"/>
    <w:rsid w:val="00C82F79"/>
    <w:rsid w:val="00C83E56"/>
    <w:rsid w:val="00C84153"/>
    <w:rsid w:val="00C85A6E"/>
    <w:rsid w:val="00C86343"/>
    <w:rsid w:val="00C870DC"/>
    <w:rsid w:val="00C8732A"/>
    <w:rsid w:val="00C905F9"/>
    <w:rsid w:val="00C908CF"/>
    <w:rsid w:val="00C90AEE"/>
    <w:rsid w:val="00C91A59"/>
    <w:rsid w:val="00C939A3"/>
    <w:rsid w:val="00C94A67"/>
    <w:rsid w:val="00C94B70"/>
    <w:rsid w:val="00C94C21"/>
    <w:rsid w:val="00C94CA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62A"/>
    <w:rsid w:val="00CB171D"/>
    <w:rsid w:val="00CB1BD9"/>
    <w:rsid w:val="00CB2637"/>
    <w:rsid w:val="00CB2E15"/>
    <w:rsid w:val="00CB3DEA"/>
    <w:rsid w:val="00CB4F89"/>
    <w:rsid w:val="00CB56BB"/>
    <w:rsid w:val="00CB58BF"/>
    <w:rsid w:val="00CB6674"/>
    <w:rsid w:val="00CB69C5"/>
    <w:rsid w:val="00CB783F"/>
    <w:rsid w:val="00CC1CFE"/>
    <w:rsid w:val="00CC23C2"/>
    <w:rsid w:val="00CC2EAE"/>
    <w:rsid w:val="00CC3486"/>
    <w:rsid w:val="00CC358C"/>
    <w:rsid w:val="00CC3EC5"/>
    <w:rsid w:val="00CC4824"/>
    <w:rsid w:val="00CC49B2"/>
    <w:rsid w:val="00CC49D9"/>
    <w:rsid w:val="00CC4D1C"/>
    <w:rsid w:val="00CC5B9F"/>
    <w:rsid w:val="00CC5C3D"/>
    <w:rsid w:val="00CC7D56"/>
    <w:rsid w:val="00CD0842"/>
    <w:rsid w:val="00CD12FE"/>
    <w:rsid w:val="00CD1492"/>
    <w:rsid w:val="00CD1E2B"/>
    <w:rsid w:val="00CD230E"/>
    <w:rsid w:val="00CD2673"/>
    <w:rsid w:val="00CD2723"/>
    <w:rsid w:val="00CD2988"/>
    <w:rsid w:val="00CD39E1"/>
    <w:rsid w:val="00CD448C"/>
    <w:rsid w:val="00CD487D"/>
    <w:rsid w:val="00CD6A0A"/>
    <w:rsid w:val="00CD6EE2"/>
    <w:rsid w:val="00CE0907"/>
    <w:rsid w:val="00CE09B7"/>
    <w:rsid w:val="00CE13DF"/>
    <w:rsid w:val="00CE2EC6"/>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568"/>
    <w:rsid w:val="00CF0B69"/>
    <w:rsid w:val="00CF0E93"/>
    <w:rsid w:val="00CF2C7A"/>
    <w:rsid w:val="00CF2F39"/>
    <w:rsid w:val="00CF3819"/>
    <w:rsid w:val="00CF3ECB"/>
    <w:rsid w:val="00CF4474"/>
    <w:rsid w:val="00CF45A2"/>
    <w:rsid w:val="00CF46B6"/>
    <w:rsid w:val="00CF64FF"/>
    <w:rsid w:val="00CF728D"/>
    <w:rsid w:val="00CF78CC"/>
    <w:rsid w:val="00D00B4D"/>
    <w:rsid w:val="00D00C2B"/>
    <w:rsid w:val="00D00CE3"/>
    <w:rsid w:val="00D01B00"/>
    <w:rsid w:val="00D02423"/>
    <w:rsid w:val="00D02545"/>
    <w:rsid w:val="00D02DCF"/>
    <w:rsid w:val="00D036E0"/>
    <w:rsid w:val="00D04A91"/>
    <w:rsid w:val="00D05715"/>
    <w:rsid w:val="00D06BCB"/>
    <w:rsid w:val="00D07A5C"/>
    <w:rsid w:val="00D10FF4"/>
    <w:rsid w:val="00D125D9"/>
    <w:rsid w:val="00D12B62"/>
    <w:rsid w:val="00D134B7"/>
    <w:rsid w:val="00D13D7F"/>
    <w:rsid w:val="00D14772"/>
    <w:rsid w:val="00D14FB7"/>
    <w:rsid w:val="00D150F8"/>
    <w:rsid w:val="00D16208"/>
    <w:rsid w:val="00D16A87"/>
    <w:rsid w:val="00D16A8D"/>
    <w:rsid w:val="00D17332"/>
    <w:rsid w:val="00D1795F"/>
    <w:rsid w:val="00D227AF"/>
    <w:rsid w:val="00D245EA"/>
    <w:rsid w:val="00D24F31"/>
    <w:rsid w:val="00D2529E"/>
    <w:rsid w:val="00D25695"/>
    <w:rsid w:val="00D261AE"/>
    <w:rsid w:val="00D27C89"/>
    <w:rsid w:val="00D30101"/>
    <w:rsid w:val="00D30575"/>
    <w:rsid w:val="00D318F4"/>
    <w:rsid w:val="00D34C00"/>
    <w:rsid w:val="00D351C6"/>
    <w:rsid w:val="00D35522"/>
    <w:rsid w:val="00D35B3D"/>
    <w:rsid w:val="00D35D43"/>
    <w:rsid w:val="00D35E61"/>
    <w:rsid w:val="00D3699F"/>
    <w:rsid w:val="00D41833"/>
    <w:rsid w:val="00D4214A"/>
    <w:rsid w:val="00D42FC1"/>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735"/>
    <w:rsid w:val="00D6006B"/>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5BC8"/>
    <w:rsid w:val="00D960D9"/>
    <w:rsid w:val="00D96695"/>
    <w:rsid w:val="00D971A7"/>
    <w:rsid w:val="00DA019B"/>
    <w:rsid w:val="00DA03A9"/>
    <w:rsid w:val="00DA2963"/>
    <w:rsid w:val="00DA3470"/>
    <w:rsid w:val="00DA3490"/>
    <w:rsid w:val="00DA34F0"/>
    <w:rsid w:val="00DA3DF0"/>
    <w:rsid w:val="00DA3F70"/>
    <w:rsid w:val="00DA4899"/>
    <w:rsid w:val="00DB1898"/>
    <w:rsid w:val="00DB1BDD"/>
    <w:rsid w:val="00DB1F59"/>
    <w:rsid w:val="00DB2206"/>
    <w:rsid w:val="00DB3144"/>
    <w:rsid w:val="00DB4177"/>
    <w:rsid w:val="00DB45FD"/>
    <w:rsid w:val="00DB4961"/>
    <w:rsid w:val="00DB5A31"/>
    <w:rsid w:val="00DC0D75"/>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1381"/>
    <w:rsid w:val="00DE1BD7"/>
    <w:rsid w:val="00DE26D8"/>
    <w:rsid w:val="00DE2B6E"/>
    <w:rsid w:val="00DE30FB"/>
    <w:rsid w:val="00DE3C22"/>
    <w:rsid w:val="00DE470C"/>
    <w:rsid w:val="00DF1499"/>
    <w:rsid w:val="00DF352D"/>
    <w:rsid w:val="00DF3FAA"/>
    <w:rsid w:val="00DF4894"/>
    <w:rsid w:val="00DF526F"/>
    <w:rsid w:val="00DF6639"/>
    <w:rsid w:val="00DF78C5"/>
    <w:rsid w:val="00E00F7A"/>
    <w:rsid w:val="00E04795"/>
    <w:rsid w:val="00E0651E"/>
    <w:rsid w:val="00E0692D"/>
    <w:rsid w:val="00E06C85"/>
    <w:rsid w:val="00E076A9"/>
    <w:rsid w:val="00E07822"/>
    <w:rsid w:val="00E07880"/>
    <w:rsid w:val="00E1046B"/>
    <w:rsid w:val="00E10D93"/>
    <w:rsid w:val="00E11CEF"/>
    <w:rsid w:val="00E11D8F"/>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5AE0"/>
    <w:rsid w:val="00E5616F"/>
    <w:rsid w:val="00E56DB5"/>
    <w:rsid w:val="00E575F5"/>
    <w:rsid w:val="00E607F0"/>
    <w:rsid w:val="00E60ABC"/>
    <w:rsid w:val="00E60C77"/>
    <w:rsid w:val="00E6268E"/>
    <w:rsid w:val="00E62ABC"/>
    <w:rsid w:val="00E63D52"/>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90A33"/>
    <w:rsid w:val="00E90C87"/>
    <w:rsid w:val="00E90ECC"/>
    <w:rsid w:val="00E9170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0F78"/>
    <w:rsid w:val="00EA12C4"/>
    <w:rsid w:val="00EA18EA"/>
    <w:rsid w:val="00EA1A01"/>
    <w:rsid w:val="00EA2183"/>
    <w:rsid w:val="00EA3012"/>
    <w:rsid w:val="00EA33CB"/>
    <w:rsid w:val="00EA438F"/>
    <w:rsid w:val="00EA498C"/>
    <w:rsid w:val="00EA548E"/>
    <w:rsid w:val="00EA5804"/>
    <w:rsid w:val="00EA7FF0"/>
    <w:rsid w:val="00EB020B"/>
    <w:rsid w:val="00EB074F"/>
    <w:rsid w:val="00EB0936"/>
    <w:rsid w:val="00EB2449"/>
    <w:rsid w:val="00EB2720"/>
    <w:rsid w:val="00EB3F8D"/>
    <w:rsid w:val="00EB3F9A"/>
    <w:rsid w:val="00EB4749"/>
    <w:rsid w:val="00EB4E68"/>
    <w:rsid w:val="00EB55B5"/>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4CEC"/>
    <w:rsid w:val="00EC545D"/>
    <w:rsid w:val="00EC5D9A"/>
    <w:rsid w:val="00ED0041"/>
    <w:rsid w:val="00ED1EAA"/>
    <w:rsid w:val="00ED310D"/>
    <w:rsid w:val="00ED414A"/>
    <w:rsid w:val="00ED4310"/>
    <w:rsid w:val="00ED45C2"/>
    <w:rsid w:val="00ED5900"/>
    <w:rsid w:val="00ED5C63"/>
    <w:rsid w:val="00ED6EC4"/>
    <w:rsid w:val="00EE00BD"/>
    <w:rsid w:val="00EE073F"/>
    <w:rsid w:val="00EE147A"/>
    <w:rsid w:val="00EE1880"/>
    <w:rsid w:val="00EE24C0"/>
    <w:rsid w:val="00EE2AE5"/>
    <w:rsid w:val="00EE2D7C"/>
    <w:rsid w:val="00EE2E11"/>
    <w:rsid w:val="00EE4179"/>
    <w:rsid w:val="00EE44A6"/>
    <w:rsid w:val="00EE45C2"/>
    <w:rsid w:val="00EE5BBD"/>
    <w:rsid w:val="00EE66BE"/>
    <w:rsid w:val="00EE6A30"/>
    <w:rsid w:val="00EE6C9F"/>
    <w:rsid w:val="00EE6DB8"/>
    <w:rsid w:val="00EE7494"/>
    <w:rsid w:val="00EE7546"/>
    <w:rsid w:val="00EF0E16"/>
    <w:rsid w:val="00EF384F"/>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23F9"/>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D79"/>
    <w:rsid w:val="00F14C86"/>
    <w:rsid w:val="00F1533C"/>
    <w:rsid w:val="00F1559B"/>
    <w:rsid w:val="00F15990"/>
    <w:rsid w:val="00F16544"/>
    <w:rsid w:val="00F16971"/>
    <w:rsid w:val="00F16BA9"/>
    <w:rsid w:val="00F17E66"/>
    <w:rsid w:val="00F216E5"/>
    <w:rsid w:val="00F23B21"/>
    <w:rsid w:val="00F24591"/>
    <w:rsid w:val="00F256E5"/>
    <w:rsid w:val="00F27406"/>
    <w:rsid w:val="00F30888"/>
    <w:rsid w:val="00F31336"/>
    <w:rsid w:val="00F327D6"/>
    <w:rsid w:val="00F3468B"/>
    <w:rsid w:val="00F34D25"/>
    <w:rsid w:val="00F37ECB"/>
    <w:rsid w:val="00F40133"/>
    <w:rsid w:val="00F40CBF"/>
    <w:rsid w:val="00F41903"/>
    <w:rsid w:val="00F42F82"/>
    <w:rsid w:val="00F44D73"/>
    <w:rsid w:val="00F459C5"/>
    <w:rsid w:val="00F46199"/>
    <w:rsid w:val="00F46774"/>
    <w:rsid w:val="00F46891"/>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A9C"/>
    <w:rsid w:val="00F56BD0"/>
    <w:rsid w:val="00F56EEB"/>
    <w:rsid w:val="00F571CF"/>
    <w:rsid w:val="00F572D5"/>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536"/>
    <w:rsid w:val="00F7383F"/>
    <w:rsid w:val="00F7600F"/>
    <w:rsid w:val="00F761F0"/>
    <w:rsid w:val="00F77A33"/>
    <w:rsid w:val="00F803B7"/>
    <w:rsid w:val="00F81D91"/>
    <w:rsid w:val="00F81DD1"/>
    <w:rsid w:val="00F82709"/>
    <w:rsid w:val="00F82F0E"/>
    <w:rsid w:val="00F83916"/>
    <w:rsid w:val="00F8462C"/>
    <w:rsid w:val="00F849AF"/>
    <w:rsid w:val="00F849FC"/>
    <w:rsid w:val="00F858BF"/>
    <w:rsid w:val="00F85AE6"/>
    <w:rsid w:val="00F8606A"/>
    <w:rsid w:val="00F869F4"/>
    <w:rsid w:val="00F86ABA"/>
    <w:rsid w:val="00F87ACC"/>
    <w:rsid w:val="00F91630"/>
    <w:rsid w:val="00F917C1"/>
    <w:rsid w:val="00F917C6"/>
    <w:rsid w:val="00F91D60"/>
    <w:rsid w:val="00F92D1A"/>
    <w:rsid w:val="00F93DEB"/>
    <w:rsid w:val="00F94FE9"/>
    <w:rsid w:val="00F9699C"/>
    <w:rsid w:val="00F96AD8"/>
    <w:rsid w:val="00F96F67"/>
    <w:rsid w:val="00F96F6B"/>
    <w:rsid w:val="00FA02D1"/>
    <w:rsid w:val="00FA0787"/>
    <w:rsid w:val="00FA08B1"/>
    <w:rsid w:val="00FA10EA"/>
    <w:rsid w:val="00FA1B58"/>
    <w:rsid w:val="00FA3FD6"/>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09E"/>
    <w:rsid w:val="00FC11FF"/>
    <w:rsid w:val="00FC18DE"/>
    <w:rsid w:val="00FC1A3A"/>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561"/>
    <w:rsid w:val="00FD18F7"/>
    <w:rsid w:val="00FD22C9"/>
    <w:rsid w:val="00FD2746"/>
    <w:rsid w:val="00FD3EA4"/>
    <w:rsid w:val="00FD4485"/>
    <w:rsid w:val="00FD4AA8"/>
    <w:rsid w:val="00FD4C0B"/>
    <w:rsid w:val="00FD6250"/>
    <w:rsid w:val="00FD7C6A"/>
    <w:rsid w:val="00FE023B"/>
    <w:rsid w:val="00FE1405"/>
    <w:rsid w:val="00FE2101"/>
    <w:rsid w:val="00FE24C9"/>
    <w:rsid w:val="00FE27D0"/>
    <w:rsid w:val="00FE2D98"/>
    <w:rsid w:val="00FE2DCC"/>
    <w:rsid w:val="00FE3315"/>
    <w:rsid w:val="00FE34C7"/>
    <w:rsid w:val="00FE39F3"/>
    <w:rsid w:val="00FE3E52"/>
    <w:rsid w:val="00FE54AF"/>
    <w:rsid w:val="00FE61C1"/>
    <w:rsid w:val="00FE64C1"/>
    <w:rsid w:val="00FE6B05"/>
    <w:rsid w:val="00FE7210"/>
    <w:rsid w:val="00FE75B0"/>
    <w:rsid w:val="00FF1302"/>
    <w:rsid w:val="00FF1ED0"/>
    <w:rsid w:val="00FF1EEC"/>
    <w:rsid w:val="00FF2396"/>
    <w:rsid w:val="00FF29D2"/>
    <w:rsid w:val="00FF3720"/>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paragraph" w:customStyle="1" w:styleId="Proposal">
    <w:name w:val="Proposal"/>
    <w:basedOn w:val="BodyText"/>
    <w:link w:val="ProposalChar"/>
    <w:qFormat/>
    <w:rsid w:val="00F256E5"/>
    <w:p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F256E5"/>
    <w:rPr>
      <w:rFonts w:ascii="Arial" w:eastAsiaTheme="minorHAnsi" w:hAnsi="Arial" w:cstheme="minorBidi"/>
      <w:b/>
      <w:bCs/>
      <w:szCs w:val="22"/>
      <w:lang w:eastAsia="zh-CN"/>
    </w:rPr>
  </w:style>
  <w:style w:type="paragraph" w:styleId="BodyText">
    <w:name w:val="Body Text"/>
    <w:basedOn w:val="Normal"/>
    <w:link w:val="BodyTextChar"/>
    <w:rsid w:val="00F256E5"/>
    <w:pPr>
      <w:spacing w:after="120"/>
    </w:pPr>
  </w:style>
  <w:style w:type="character" w:customStyle="1" w:styleId="BodyTextChar">
    <w:name w:val="Body Text Char"/>
    <w:basedOn w:val="DefaultParagraphFont"/>
    <w:link w:val="BodyText"/>
    <w:rsid w:val="00F256E5"/>
    <w:rPr>
      <w:lang w:val="en-GB" w:eastAsia="ko-KR"/>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F256E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1047512">
      <w:bodyDiv w:val="1"/>
      <w:marLeft w:val="0"/>
      <w:marRight w:val="0"/>
      <w:marTop w:val="0"/>
      <w:marBottom w:val="0"/>
      <w:divBdr>
        <w:top w:val="none" w:sz="0" w:space="0" w:color="auto"/>
        <w:left w:val="none" w:sz="0" w:space="0" w:color="auto"/>
        <w:bottom w:val="none" w:sz="0" w:space="0" w:color="auto"/>
        <w:right w:val="none" w:sz="0" w:space="0" w:color="auto"/>
      </w:divBdr>
      <w:divsChild>
        <w:div w:id="659425932">
          <w:marLeft w:val="547"/>
          <w:marRight w:val="0"/>
          <w:marTop w:val="0"/>
          <w:marBottom w:val="0"/>
          <w:divBdr>
            <w:top w:val="none" w:sz="0" w:space="0" w:color="auto"/>
            <w:left w:val="none" w:sz="0" w:space="0" w:color="auto"/>
            <w:bottom w:val="none" w:sz="0" w:space="0" w:color="auto"/>
            <w:right w:val="none" w:sz="0" w:space="0" w:color="auto"/>
          </w:divBdr>
        </w:div>
        <w:div w:id="713623800">
          <w:marLeft w:val="116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50056912">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852562">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5088662">
      <w:bodyDiv w:val="1"/>
      <w:marLeft w:val="0"/>
      <w:marRight w:val="0"/>
      <w:marTop w:val="0"/>
      <w:marBottom w:val="0"/>
      <w:divBdr>
        <w:top w:val="none" w:sz="0" w:space="0" w:color="auto"/>
        <w:left w:val="none" w:sz="0" w:space="0" w:color="auto"/>
        <w:bottom w:val="none" w:sz="0" w:space="0" w:color="auto"/>
        <w:right w:val="none" w:sz="0" w:space="0" w:color="auto"/>
      </w:divBdr>
      <w:divsChild>
        <w:div w:id="1535802967">
          <w:marLeft w:val="547"/>
          <w:marRight w:val="0"/>
          <w:marTop w:val="0"/>
          <w:marBottom w:val="0"/>
          <w:divBdr>
            <w:top w:val="none" w:sz="0" w:space="0" w:color="auto"/>
            <w:left w:val="none" w:sz="0" w:space="0" w:color="auto"/>
            <w:bottom w:val="none" w:sz="0" w:space="0" w:color="auto"/>
            <w:right w:val="none" w:sz="0" w:space="0" w:color="auto"/>
          </w:divBdr>
        </w:div>
        <w:div w:id="744448329">
          <w:marLeft w:val="1166"/>
          <w:marRight w:val="0"/>
          <w:marTop w:val="0"/>
          <w:marBottom w:val="0"/>
          <w:divBdr>
            <w:top w:val="none" w:sz="0" w:space="0" w:color="auto"/>
            <w:left w:val="none" w:sz="0" w:space="0" w:color="auto"/>
            <w:bottom w:val="none" w:sz="0" w:space="0" w:color="auto"/>
            <w:right w:val="none" w:sz="0" w:space="0" w:color="auto"/>
          </w:divBdr>
        </w:div>
        <w:div w:id="1115558628">
          <w:marLeft w:val="1800"/>
          <w:marRight w:val="0"/>
          <w:marTop w:val="0"/>
          <w:marBottom w:val="0"/>
          <w:divBdr>
            <w:top w:val="none" w:sz="0" w:space="0" w:color="auto"/>
            <w:left w:val="none" w:sz="0" w:space="0" w:color="auto"/>
            <w:bottom w:val="none" w:sz="0" w:space="0" w:color="auto"/>
            <w:right w:val="none" w:sz="0" w:space="0" w:color="auto"/>
          </w:divBdr>
        </w:div>
        <w:div w:id="1837260085">
          <w:marLeft w:val="2520"/>
          <w:marRight w:val="0"/>
          <w:marTop w:val="0"/>
          <w:marBottom w:val="0"/>
          <w:divBdr>
            <w:top w:val="none" w:sz="0" w:space="0" w:color="auto"/>
            <w:left w:val="none" w:sz="0" w:space="0" w:color="auto"/>
            <w:bottom w:val="none" w:sz="0" w:space="0" w:color="auto"/>
            <w:right w:val="none" w:sz="0" w:space="0" w:color="auto"/>
          </w:divBdr>
        </w:div>
        <w:div w:id="1046104977">
          <w:marLeft w:val="2520"/>
          <w:marRight w:val="0"/>
          <w:marTop w:val="0"/>
          <w:marBottom w:val="0"/>
          <w:divBdr>
            <w:top w:val="none" w:sz="0" w:space="0" w:color="auto"/>
            <w:left w:val="none" w:sz="0" w:space="0" w:color="auto"/>
            <w:bottom w:val="none" w:sz="0" w:space="0" w:color="auto"/>
            <w:right w:val="none" w:sz="0" w:space="0" w:color="auto"/>
          </w:divBdr>
        </w:div>
        <w:div w:id="500583274">
          <w:marLeft w:val="2520"/>
          <w:marRight w:val="0"/>
          <w:marTop w:val="0"/>
          <w:marBottom w:val="0"/>
          <w:divBdr>
            <w:top w:val="none" w:sz="0" w:space="0" w:color="auto"/>
            <w:left w:val="none" w:sz="0" w:space="0" w:color="auto"/>
            <w:bottom w:val="none" w:sz="0" w:space="0" w:color="auto"/>
            <w:right w:val="none" w:sz="0" w:space="0" w:color="auto"/>
          </w:divBdr>
        </w:div>
        <w:div w:id="752237642">
          <w:marLeft w:val="1166"/>
          <w:marRight w:val="0"/>
          <w:marTop w:val="0"/>
          <w:marBottom w:val="0"/>
          <w:divBdr>
            <w:top w:val="none" w:sz="0" w:space="0" w:color="auto"/>
            <w:left w:val="none" w:sz="0" w:space="0" w:color="auto"/>
            <w:bottom w:val="none" w:sz="0" w:space="0" w:color="auto"/>
            <w:right w:val="none" w:sz="0" w:space="0" w:color="auto"/>
          </w:divBdr>
        </w:div>
        <w:div w:id="1402673016">
          <w:marLeft w:val="1800"/>
          <w:marRight w:val="0"/>
          <w:marTop w:val="0"/>
          <w:marBottom w:val="0"/>
          <w:divBdr>
            <w:top w:val="none" w:sz="0" w:space="0" w:color="auto"/>
            <w:left w:val="none" w:sz="0" w:space="0" w:color="auto"/>
            <w:bottom w:val="none" w:sz="0" w:space="0" w:color="auto"/>
            <w:right w:val="none" w:sz="0" w:space="0" w:color="auto"/>
          </w:divBdr>
        </w:div>
      </w:divsChild>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995615">
      <w:bodyDiv w:val="1"/>
      <w:marLeft w:val="0"/>
      <w:marRight w:val="0"/>
      <w:marTop w:val="0"/>
      <w:marBottom w:val="0"/>
      <w:divBdr>
        <w:top w:val="none" w:sz="0" w:space="0" w:color="auto"/>
        <w:left w:val="none" w:sz="0" w:space="0" w:color="auto"/>
        <w:bottom w:val="none" w:sz="0" w:space="0" w:color="auto"/>
        <w:right w:val="none" w:sz="0" w:space="0" w:color="auto"/>
      </w:divBdr>
      <w:divsChild>
        <w:div w:id="302391368">
          <w:marLeft w:val="216"/>
          <w:marRight w:val="0"/>
          <w:marTop w:val="240"/>
          <w:marBottom w:val="0"/>
          <w:divBdr>
            <w:top w:val="none" w:sz="0" w:space="0" w:color="auto"/>
            <w:left w:val="none" w:sz="0" w:space="0" w:color="auto"/>
            <w:bottom w:val="none" w:sz="0" w:space="0" w:color="auto"/>
            <w:right w:val="none" w:sz="0" w:space="0" w:color="auto"/>
          </w:divBdr>
        </w:div>
        <w:div w:id="308287247">
          <w:marLeft w:val="562"/>
          <w:marRight w:val="0"/>
          <w:marTop w:val="0"/>
          <w:marBottom w:val="0"/>
          <w:divBdr>
            <w:top w:val="none" w:sz="0" w:space="0" w:color="auto"/>
            <w:left w:val="none" w:sz="0" w:space="0" w:color="auto"/>
            <w:bottom w:val="none" w:sz="0" w:space="0" w:color="auto"/>
            <w:right w:val="none" w:sz="0" w:space="0" w:color="auto"/>
          </w:divBdr>
        </w:div>
        <w:div w:id="1591161213">
          <w:marLeft w:val="821"/>
          <w:marRight w:val="0"/>
          <w:marTop w:val="0"/>
          <w:marBottom w:val="0"/>
          <w:divBdr>
            <w:top w:val="none" w:sz="0" w:space="0" w:color="auto"/>
            <w:left w:val="none" w:sz="0" w:space="0" w:color="auto"/>
            <w:bottom w:val="none" w:sz="0" w:space="0" w:color="auto"/>
            <w:right w:val="none" w:sz="0" w:space="0" w:color="auto"/>
          </w:divBdr>
        </w:div>
        <w:div w:id="949583380">
          <w:marLeft w:val="821"/>
          <w:marRight w:val="0"/>
          <w:marTop w:val="0"/>
          <w:marBottom w:val="0"/>
          <w:divBdr>
            <w:top w:val="none" w:sz="0" w:space="0" w:color="auto"/>
            <w:left w:val="none" w:sz="0" w:space="0" w:color="auto"/>
            <w:bottom w:val="none" w:sz="0" w:space="0" w:color="auto"/>
            <w:right w:val="none" w:sz="0" w:space="0" w:color="auto"/>
          </w:divBdr>
        </w:div>
      </w:divsChild>
    </w:div>
    <w:div w:id="1928224115">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095320108">
      <w:bodyDiv w:val="1"/>
      <w:marLeft w:val="0"/>
      <w:marRight w:val="0"/>
      <w:marTop w:val="0"/>
      <w:marBottom w:val="0"/>
      <w:divBdr>
        <w:top w:val="none" w:sz="0" w:space="0" w:color="auto"/>
        <w:left w:val="none" w:sz="0" w:space="0" w:color="auto"/>
        <w:bottom w:val="none" w:sz="0" w:space="0" w:color="auto"/>
        <w:right w:val="none" w:sz="0" w:space="0" w:color="auto"/>
      </w:divBdr>
      <w:divsChild>
        <w:div w:id="293366514">
          <w:marLeft w:val="216"/>
          <w:marRight w:val="0"/>
          <w:marTop w:val="240"/>
          <w:marBottom w:val="0"/>
          <w:divBdr>
            <w:top w:val="none" w:sz="0" w:space="0" w:color="auto"/>
            <w:left w:val="none" w:sz="0" w:space="0" w:color="auto"/>
            <w:bottom w:val="none" w:sz="0" w:space="0" w:color="auto"/>
            <w:right w:val="none" w:sz="0" w:space="0" w:color="auto"/>
          </w:divBdr>
        </w:div>
        <w:div w:id="1871065293">
          <w:marLeft w:val="562"/>
          <w:marRight w:val="0"/>
          <w:marTop w:val="0"/>
          <w:marBottom w:val="0"/>
          <w:divBdr>
            <w:top w:val="none" w:sz="0" w:space="0" w:color="auto"/>
            <w:left w:val="none" w:sz="0" w:space="0" w:color="auto"/>
            <w:bottom w:val="none" w:sz="0" w:space="0" w:color="auto"/>
            <w:right w:val="none" w:sz="0" w:space="0" w:color="auto"/>
          </w:divBdr>
        </w:div>
        <w:div w:id="319771081">
          <w:marLeft w:val="821"/>
          <w:marRight w:val="0"/>
          <w:marTop w:val="0"/>
          <w:marBottom w:val="0"/>
          <w:divBdr>
            <w:top w:val="none" w:sz="0" w:space="0" w:color="auto"/>
            <w:left w:val="none" w:sz="0" w:space="0" w:color="auto"/>
            <w:bottom w:val="none" w:sz="0" w:space="0" w:color="auto"/>
            <w:right w:val="none" w:sz="0" w:space="0" w:color="auto"/>
          </w:divBdr>
        </w:div>
        <w:div w:id="2102949681">
          <w:marLeft w:val="1080"/>
          <w:marRight w:val="0"/>
          <w:marTop w:val="0"/>
          <w:marBottom w:val="0"/>
          <w:divBdr>
            <w:top w:val="none" w:sz="0" w:space="0" w:color="auto"/>
            <w:left w:val="none" w:sz="0" w:space="0" w:color="auto"/>
            <w:bottom w:val="none" w:sz="0" w:space="0" w:color="auto"/>
            <w:right w:val="none" w:sz="0" w:space="0" w:color="auto"/>
          </w:divBdr>
        </w:div>
        <w:div w:id="1037851897">
          <w:marLeft w:val="1080"/>
          <w:marRight w:val="0"/>
          <w:marTop w:val="0"/>
          <w:marBottom w:val="0"/>
          <w:divBdr>
            <w:top w:val="none" w:sz="0" w:space="0" w:color="auto"/>
            <w:left w:val="none" w:sz="0" w:space="0" w:color="auto"/>
            <w:bottom w:val="none" w:sz="0" w:space="0" w:color="auto"/>
            <w:right w:val="none" w:sz="0" w:space="0" w:color="auto"/>
          </w:divBdr>
        </w:div>
        <w:div w:id="372460152">
          <w:marLeft w:val="1080"/>
          <w:marRight w:val="0"/>
          <w:marTop w:val="0"/>
          <w:marBottom w:val="0"/>
          <w:divBdr>
            <w:top w:val="none" w:sz="0" w:space="0" w:color="auto"/>
            <w:left w:val="none" w:sz="0" w:space="0" w:color="auto"/>
            <w:bottom w:val="none" w:sz="0" w:space="0" w:color="auto"/>
            <w:right w:val="none" w:sz="0" w:space="0" w:color="auto"/>
          </w:divBdr>
        </w:div>
        <w:div w:id="1992176760">
          <w:marLeft w:val="821"/>
          <w:marRight w:val="0"/>
          <w:marTop w:val="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8372</TotalTime>
  <Pages>3</Pages>
  <Words>809</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Presentation to TSG / WG</vt:lpstr>
      <vt:lpstr>1.	Introduction</vt:lpstr>
      <vt:lpstr>2. 	Discussion</vt:lpstr>
      <vt:lpstr>3.	Conclusion</vt:lpstr>
    </vt:vector>
  </TitlesOfParts>
  <Company>ETSI Sophia-Antipolis</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1255</cp:revision>
  <dcterms:created xsi:type="dcterms:W3CDTF">2020-08-06T06:51:00Z</dcterms:created>
  <dcterms:modified xsi:type="dcterms:W3CDTF">2022-11-07T18:09:00Z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